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4D" w:rsidRDefault="00D1174D">
      <w:pPr>
        <w:spacing w:after="0" w:line="271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P.271.11.2026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</w:rPr>
        <w:t>Załącznik nr 3a do SWZ</w:t>
      </w:r>
    </w:p>
    <w:p w:rsidR="00D1174D" w:rsidRDefault="00D1174D">
      <w:pPr>
        <w:spacing w:after="0" w:line="271" w:lineRule="auto"/>
        <w:rPr>
          <w:rFonts w:ascii="Arial" w:hAnsi="Arial" w:cs="Arial"/>
          <w:b/>
        </w:rPr>
      </w:pPr>
    </w:p>
    <w:p w:rsidR="00D1174D" w:rsidRDefault="00D1174D">
      <w:pPr>
        <w:spacing w:after="0" w:line="271" w:lineRule="auto"/>
        <w:rPr>
          <w:rFonts w:ascii="Arial" w:hAnsi="Arial" w:cs="Arial"/>
          <w:b/>
        </w:rPr>
      </w:pPr>
    </w:p>
    <w:p w:rsidR="00D1174D" w:rsidRDefault="00D1174D">
      <w:pPr>
        <w:pStyle w:val="TOCHeading"/>
        <w:spacing w:before="0" w:line="271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Spis treści</w:t>
      </w:r>
    </w:p>
    <w:p w:rsidR="00D1174D" w:rsidRDefault="00D1174D">
      <w:pPr>
        <w:pStyle w:val="TOC1"/>
        <w:tabs>
          <w:tab w:val="left" w:pos="48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r>
        <w:rPr>
          <w:rStyle w:val="czeindeksu"/>
          <w:rFonts w:ascii="Arial" w:hAnsi="Arial" w:cs="Arial"/>
          <w:b/>
          <w:webHidden/>
        </w:rPr>
        <w:fldChar w:fldCharType="begin"/>
      </w:r>
      <w:r>
        <w:rPr>
          <w:rStyle w:val="czeindeksu"/>
          <w:rFonts w:ascii="Arial" w:hAnsi="Arial" w:cs="Arial"/>
          <w:b/>
          <w:webHidden/>
        </w:rPr>
        <w:instrText xml:space="preserve"> TOC \z \o "1-3" \u \h</w:instrText>
      </w:r>
      <w:r>
        <w:rPr>
          <w:rStyle w:val="czeindeksu"/>
          <w:rFonts w:ascii="Arial" w:hAnsi="Arial" w:cs="Arial"/>
          <w:b/>
          <w:webHidden/>
        </w:rPr>
        <w:fldChar w:fldCharType="separate"/>
      </w:r>
      <w:hyperlink w:anchor="_Toc221702249">
        <w:r>
          <w:rPr>
            <w:rStyle w:val="czeindeksu"/>
            <w:rFonts w:ascii="Arial" w:hAnsi="Arial" w:cs="Arial"/>
            <w:b/>
            <w:webHidden/>
          </w:rPr>
          <w:t>I.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</w:rPr>
          <w:t>Dostawa serwera  wraz z systemem operacyjnym wraz z  licencjami dostępowymi – 2 szt.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_Toc221702249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webHidden/>
          </w:rPr>
          <w:fldChar w:fldCharType="end"/>
        </w:r>
      </w:hyperlink>
    </w:p>
    <w:p w:rsidR="00D1174D" w:rsidRDefault="00D1174D">
      <w:pPr>
        <w:pStyle w:val="TOC1"/>
        <w:tabs>
          <w:tab w:val="left" w:pos="48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hyperlink w:anchor="_Toc221702250">
        <w:r>
          <w:rPr>
            <w:rStyle w:val="czeindeksu"/>
            <w:rFonts w:ascii="Arial" w:hAnsi="Arial"/>
            <w:b/>
            <w:webHidden/>
          </w:rPr>
          <w:t>II.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</w:rPr>
          <w:t>Dostawa komputera jednopłytkowego na potrzeby klastra – 1 szt.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_Toc221702250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webHidden/>
          </w:rPr>
          <w:fldChar w:fldCharType="end"/>
        </w:r>
      </w:hyperlink>
    </w:p>
    <w:p w:rsidR="00D1174D" w:rsidRDefault="00D1174D">
      <w:pPr>
        <w:pStyle w:val="TOC1"/>
        <w:tabs>
          <w:tab w:val="left" w:pos="72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hyperlink w:anchor="_Toc221702251">
        <w:r>
          <w:rPr>
            <w:rStyle w:val="czeindeksu"/>
            <w:rFonts w:ascii="Arial" w:hAnsi="Arial"/>
            <w:b/>
            <w:webHidden/>
          </w:rPr>
          <w:t>III.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</w:rPr>
          <w:t>Dostawa systemu zasilania awaryjnego na potrzeby komputera jednopłytkowego – 1 szt.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_Toc221702251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webHidden/>
          </w:rPr>
          <w:fldChar w:fldCharType="end"/>
        </w:r>
      </w:hyperlink>
    </w:p>
    <w:p w:rsidR="00D1174D" w:rsidRDefault="00D1174D">
      <w:pPr>
        <w:pStyle w:val="TOC1"/>
        <w:tabs>
          <w:tab w:val="left" w:pos="72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hyperlink w:anchor="_Toc221702252">
        <w:r>
          <w:rPr>
            <w:rStyle w:val="czeindeksu"/>
            <w:rFonts w:ascii="Arial" w:hAnsi="Arial"/>
            <w:b/>
            <w:bCs/>
            <w:webHidden/>
          </w:rPr>
          <w:t>IV.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  <w:bCs/>
          </w:rPr>
          <w:t>Dostawa kluczy sprzętowych do zabezpieczenia logowania do klastra – 2 szt.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_Toc221702252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webHidden/>
          </w:rPr>
          <w:fldChar w:fldCharType="end"/>
        </w:r>
      </w:hyperlink>
    </w:p>
    <w:p w:rsidR="00D1174D" w:rsidRDefault="00D1174D">
      <w:pPr>
        <w:pStyle w:val="TOC1"/>
        <w:tabs>
          <w:tab w:val="left" w:pos="48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hyperlink w:anchor="_Toc221702253">
        <w:r>
          <w:rPr>
            <w:rStyle w:val="czeindeksu"/>
            <w:rFonts w:ascii="Arial" w:hAnsi="Arial"/>
            <w:b/>
            <w:bCs/>
            <w:webHidden/>
          </w:rPr>
          <w:t>V.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  <w:bCs/>
          </w:rPr>
          <w:t>Dostawa przełącznika zarządzalnego – 1 szt.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_Toc221702253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webHidden/>
          </w:rPr>
          <w:fldChar w:fldCharType="end"/>
        </w:r>
      </w:hyperlink>
    </w:p>
    <w:p w:rsidR="00D1174D" w:rsidRDefault="00D1174D">
      <w:pPr>
        <w:pStyle w:val="TOC1"/>
        <w:tabs>
          <w:tab w:val="left" w:pos="72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hyperlink w:anchor="_Toc221702254">
        <w:r>
          <w:rPr>
            <w:rStyle w:val="czeindeksu"/>
            <w:rFonts w:ascii="Arial" w:hAnsi="Arial"/>
            <w:b/>
            <w:bCs/>
            <w:webHidden/>
          </w:rPr>
          <w:t>VI.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  <w:bCs/>
          </w:rPr>
          <w:t>Zakup serwera na potrzeby systemu sporządzania kopii zapasowych – 1 szt.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_Toc221702254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webHidden/>
          </w:rPr>
          <w:fldChar w:fldCharType="end"/>
        </w:r>
      </w:hyperlink>
    </w:p>
    <w:p w:rsidR="00D1174D" w:rsidRDefault="00D1174D">
      <w:pPr>
        <w:pStyle w:val="TOC1"/>
        <w:tabs>
          <w:tab w:val="left" w:pos="72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hyperlink w:anchor="_Toc221702255">
        <w:r>
          <w:rPr>
            <w:rStyle w:val="czeindeksu"/>
            <w:rFonts w:ascii="Arial" w:hAnsi="Arial"/>
            <w:b/>
            <w:bCs/>
            <w:webHidden/>
          </w:rPr>
          <w:t>VII.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  <w:bCs/>
          </w:rPr>
          <w:t>Dostawa kluczy sprzętowych do zabezpieczenia logowania do systemu sporządzania kopii zapasowych – 2 szt.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_Toc221702255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webHidden/>
          </w:rPr>
          <w:fldChar w:fldCharType="end"/>
        </w:r>
      </w:hyperlink>
    </w:p>
    <w:p w:rsidR="00D1174D" w:rsidRDefault="00D1174D">
      <w:pPr>
        <w:pStyle w:val="TOC1"/>
        <w:tabs>
          <w:tab w:val="left" w:pos="72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hyperlink w:anchor="_Toc221702256">
        <w:r>
          <w:rPr>
            <w:rStyle w:val="czeindeksu"/>
            <w:rFonts w:ascii="Arial" w:hAnsi="Arial"/>
            <w:b/>
            <w:bCs/>
            <w:webHidden/>
          </w:rPr>
          <w:t>VIII.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  <w:bCs/>
          </w:rPr>
          <w:t>Zakup UPS na potrzeby klastra oraz systemu do sporządzania kopii zapasowych – 1 szt.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_Toc221702256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webHidden/>
          </w:rPr>
          <w:fldChar w:fldCharType="end"/>
        </w:r>
      </w:hyperlink>
    </w:p>
    <w:p w:rsidR="00D1174D" w:rsidRDefault="00D1174D">
      <w:pPr>
        <w:pStyle w:val="TOC1"/>
        <w:tabs>
          <w:tab w:val="left" w:pos="72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hyperlink w:anchor="_Toc221702257">
        <w:r>
          <w:rPr>
            <w:rStyle w:val="czeindeksu"/>
            <w:rFonts w:ascii="Arial" w:hAnsi="Arial"/>
            <w:b/>
            <w:bCs/>
            <w:webHidden/>
          </w:rPr>
          <w:t>IX.</w:t>
        </w:r>
        <w:r>
          <w:rPr>
            <w:rStyle w:val="czeindeksu"/>
            <w:rFonts w:ascii="Times New Roman" w:hAnsi="Times New Roman"/>
            <w:sz w:val="24"/>
            <w:szCs w:val="24"/>
            <w:lang w:eastAsia="pl-PL"/>
          </w:rPr>
          <w:tab/>
        </w:r>
        <w:r>
          <w:rPr>
            <w:rStyle w:val="czeindeksu"/>
            <w:rFonts w:ascii="Arial" w:hAnsi="Arial" w:cs="Arial"/>
            <w:b/>
            <w:bCs/>
          </w:rPr>
          <w:t>Zapisy uzupełniające</w:t>
        </w:r>
        <w:r>
          <w:rPr>
            <w:webHidden/>
          </w:rPr>
          <w:fldChar w:fldCharType="begin"/>
        </w:r>
        <w:r>
          <w:rPr>
            <w:webHidden/>
          </w:rPr>
          <w:instrText>PAGEREF _Toc221702257 \h</w:instrText>
        </w:r>
        <w:r>
          <w:rPr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webHidden/>
          </w:rPr>
          <w:fldChar w:fldCharType="end"/>
        </w:r>
      </w:hyperlink>
      <w:r>
        <w:rPr>
          <w:rStyle w:val="czeindeksu"/>
          <w:rFonts w:ascii="Arial" w:hAnsi="Arial" w:cs="Arial"/>
          <w:b/>
          <w:webHidden/>
        </w:rPr>
        <w:fldChar w:fldCharType="end"/>
      </w:r>
    </w:p>
    <w:p w:rsidR="00D1174D" w:rsidRDefault="00D1174D">
      <w:pPr>
        <w:pStyle w:val="TOC1"/>
        <w:tabs>
          <w:tab w:val="left" w:pos="720"/>
          <w:tab w:val="right" w:leader="dot" w:pos="9062"/>
        </w:tabs>
        <w:rPr>
          <w:rFonts w:ascii="Times New Roman" w:hAnsi="Times New Roman"/>
          <w:sz w:val="24"/>
          <w:szCs w:val="24"/>
          <w:lang w:eastAsia="pl-PL"/>
        </w:rPr>
      </w:pPr>
      <w:r>
        <w:br w:type="page"/>
      </w:r>
    </w:p>
    <w:p w:rsidR="00D1174D" w:rsidRDefault="00D1174D">
      <w:pPr>
        <w:pStyle w:val="TOC1"/>
        <w:tabs>
          <w:tab w:val="left" w:pos="660"/>
          <w:tab w:val="right" w:leader="dot" w:pos="9062"/>
        </w:tabs>
        <w:rPr>
          <w:lang w:eastAsia="pl-PL"/>
        </w:rPr>
      </w:pPr>
    </w:p>
    <w:p w:rsidR="00D1174D" w:rsidRDefault="00D1174D">
      <w:pPr>
        <w:spacing w:after="0" w:line="271" w:lineRule="auto"/>
        <w:rPr>
          <w:rFonts w:ascii="Arial" w:hAnsi="Arial" w:cs="Arial"/>
        </w:rPr>
      </w:pPr>
    </w:p>
    <w:p w:rsidR="00D1174D" w:rsidRDefault="00D1174D">
      <w:pPr>
        <w:spacing w:after="0" w:line="271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OPIS PRZEDMIOTU ZAMÓWIENIA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  <w:t>załącznik nr 3a</w:t>
      </w:r>
    </w:p>
    <w:p w:rsidR="00D1174D" w:rsidRDefault="00D1174D">
      <w:pPr>
        <w:spacing w:after="0" w:line="271" w:lineRule="auto"/>
        <w:rPr>
          <w:rFonts w:ascii="Arial" w:hAnsi="Arial" w:cs="Arial"/>
          <w:b/>
          <w:sz w:val="28"/>
          <w:szCs w:val="28"/>
        </w:rPr>
      </w:pPr>
    </w:p>
    <w:p w:rsidR="00D1174D" w:rsidRDefault="00D1174D">
      <w:pPr>
        <w:spacing w:line="271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„Gmina Święciechowa cyberbezpiecznym samorządem” - Dostawa sprzętu informatycznego wraz z jego konfiguracją i wdrożeniem</w:t>
      </w:r>
    </w:p>
    <w:p w:rsidR="00D1174D" w:rsidRDefault="00D1174D">
      <w:pPr>
        <w:spacing w:after="0" w:line="271" w:lineRule="auto"/>
        <w:rPr>
          <w:rFonts w:ascii="Arial" w:hAnsi="Arial" w:cs="Arial"/>
          <w:b/>
          <w:sz w:val="32"/>
          <w:szCs w:val="32"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sz w:val="28"/>
          <w:szCs w:val="28"/>
        </w:rPr>
      </w:pPr>
      <w:bookmarkStart w:id="0" w:name="_Toc221702249"/>
      <w:r>
        <w:rPr>
          <w:rFonts w:ascii="Arial" w:hAnsi="Arial" w:cs="Arial"/>
          <w:b/>
          <w:sz w:val="28"/>
          <w:szCs w:val="28"/>
        </w:rPr>
        <w:t>Dostawa serwera  wraz z systemem operacyjnym wraz z  licencjami dostępowymi – 2 szt.</w:t>
      </w:r>
      <w:bookmarkEnd w:id="0"/>
    </w:p>
    <w:tbl>
      <w:tblPr>
        <w:tblW w:w="9049" w:type="dxa"/>
        <w:tblInd w:w="2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41"/>
        <w:gridCol w:w="6808"/>
      </w:tblGrid>
      <w:tr w:rsidR="00D1174D">
        <w:trPr>
          <w:trHeight w:val="624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Parametr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i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Charakterystyka (wymagania minimalne)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Obudowa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0"/>
              </w:numPr>
              <w:spacing w:after="0" w:line="271" w:lineRule="auto"/>
              <w:contextualSpacing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Obudowa Rack o wysokości max 2U z kompletem wysuwanych szyn umożliwiających montaż w szafie rack i wysuwanie serwera do celów serwisowych oraz organizatorem do kabli.</w:t>
            </w:r>
          </w:p>
          <w:p w:rsidR="00D1174D" w:rsidRDefault="00D1174D">
            <w:pPr>
              <w:pStyle w:val="ListParagraph"/>
              <w:spacing w:after="0" w:line="271" w:lineRule="auto"/>
              <w:contextualSpacing w:val="0"/>
              <w:rPr>
                <w:rFonts w:ascii="Arial" w:hAnsi="Arial" w:cs="Arial"/>
                <w:color w:val="000000"/>
              </w:rPr>
            </w:pP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Płyta główna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1"/>
              </w:numPr>
              <w:spacing w:after="0" w:line="271" w:lineRule="auto"/>
              <w:contextualSpacing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Płyta główna z możliwością zainstalowania do dwóch procesorów.</w:t>
            </w:r>
          </w:p>
          <w:p w:rsidR="00D1174D" w:rsidRDefault="00D1174D">
            <w:pPr>
              <w:pStyle w:val="ListParagraph"/>
              <w:numPr>
                <w:ilvl w:val="0"/>
                <w:numId w:val="11"/>
              </w:numPr>
              <w:spacing w:after="0" w:line="271" w:lineRule="auto"/>
              <w:contextualSpacing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Obsługa procesorów 32 rdzeniowych.</w:t>
            </w:r>
          </w:p>
          <w:p w:rsidR="00D1174D" w:rsidRDefault="00D1174D">
            <w:pPr>
              <w:pStyle w:val="ListParagraph"/>
              <w:numPr>
                <w:ilvl w:val="0"/>
                <w:numId w:val="11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Płyta główna musi być zaprojektowana przez producenta serwera i oznaczona jego znakiem firmowym.</w:t>
            </w:r>
          </w:p>
          <w:p w:rsidR="00D1174D" w:rsidRDefault="00D1174D">
            <w:pPr>
              <w:numPr>
                <w:ilvl w:val="0"/>
                <w:numId w:val="9"/>
              </w:numPr>
            </w:pPr>
            <w:r>
              <w:rPr>
                <w:rFonts w:ascii="Arial" w:hAnsi="Arial" w:cs="Arial"/>
              </w:rPr>
              <w:t xml:space="preserve">Płyta główna powinna obsługiwać </w:t>
            </w:r>
            <w:r>
              <w:t>obsługiwać minimum 1TB pamięci RAM (z możliwością rozbudowy do 8TB)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Chipset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contextualSpacing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Dedykowany przez producenta procesora do pracy w serwerach dwuprocesorowych</w:t>
            </w:r>
          </w:p>
        </w:tc>
      </w:tr>
      <w:tr w:rsidR="00D1174D">
        <w:trPr>
          <w:trHeight w:val="916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Procesor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Pr="00F067D7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rPr>
                <w:rFonts w:ascii="Arial" w:hAnsi="Arial" w:cs="Arial"/>
              </w:rPr>
            </w:pPr>
            <w:r w:rsidRPr="00F067D7">
              <w:rPr>
                <w:rFonts w:ascii="Arial" w:hAnsi="Arial" w:cs="Arial"/>
              </w:rPr>
              <w:t>Zainstalowane min. dwa procesory min. 16-rdzeniowe (każdy) klasy x86, taktowane częstotliwością min. 2.8 GHz, dedykowane do pracy z zaoferowanym serwerem umożliwiające osiągnięcie wyniku min. 280 pkt. w teście SPECrate2017_int_base, dostępnym na stronie www.spec.org dla konfiguracji dwuprocesorowej (wynik dla zaoferowanego modelu serwera)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RAM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Minimum 256GB DDR5 RDIMM 5600MT/s,</w:t>
            </w:r>
          </w:p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płycie głównej powinno znajdować się minimum 16 slotów przeznaczonych do instalacji pamięci.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Funkcjonalność pamięci RAM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Demand Scrubing,</w:t>
            </w:r>
          </w:p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Patrol Scrubing,</w:t>
            </w:r>
          </w:p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Permanent Fault Detection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Gniazda PCI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contextualSpacing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minimum dwa sloty PCIe w tym jeden generacji 5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Interfejsy sieciowe/FC/SAS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Zintegrowane lub zainstalowane co najmniej 2× 1 Gb Ethernet Base</w:t>
            </w:r>
            <w:r>
              <w:rPr>
                <w:rFonts w:ascii="Arial" w:hAnsi="Arial" w:cs="Arial"/>
                <w:color w:val="000000"/>
              </w:rPr>
              <w:noBreakHyphen/>
              <w:t>T oraz 4× 25 Gb Ethernet SFP28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</w:rPr>
              <w:t>Dyski twarde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Zainstalowane 8 sztuk NVMe o pojemności min. 3.2 TB</w:t>
            </w:r>
          </w:p>
          <w:p w:rsidR="00D1174D" w:rsidRDefault="00D1174D">
            <w:pPr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klasy </w:t>
            </w:r>
            <w:r>
              <w:rPr>
                <w:rStyle w:val="Strong"/>
                <w:rFonts w:ascii="Arial" w:hAnsi="Arial" w:cs="Arial"/>
                <w:b w:val="0"/>
                <w:bCs w:val="0"/>
              </w:rPr>
              <w:t>Enterprise/Data Center NVMe z PLP</w:t>
            </w:r>
            <w:r>
              <w:rPr>
                <w:rFonts w:ascii="Arial" w:hAnsi="Arial" w:cs="Arial"/>
              </w:rPr>
              <w:t> ( Power Loss Protection) , posiada sprzętowe zabezpieczenie przed utratą zasilania (PLP).</w:t>
            </w:r>
          </w:p>
          <w:p w:rsidR="00D1174D" w:rsidRDefault="00D1174D">
            <w:pPr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min. 3 DWPD</w:t>
            </w:r>
            <w:r>
              <w:rPr>
                <w:rFonts w:ascii="Arial" w:hAnsi="Arial" w:cs="Arial"/>
              </w:rPr>
              <w:t>,</w:t>
            </w:r>
          </w:p>
          <w:p w:rsidR="00D1174D" w:rsidRDefault="00D1174D">
            <w:pPr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</w:rPr>
              <w:t>bez QLC</w:t>
            </w:r>
            <w:r>
              <w:rPr>
                <w:rFonts w:ascii="Arial" w:hAnsi="Arial" w:cs="Arial"/>
              </w:rPr>
              <w:t>.</w:t>
            </w:r>
          </w:p>
          <w:p w:rsidR="00D1174D" w:rsidRDefault="00D1174D">
            <w:pPr>
              <w:spacing w:after="0" w:line="271" w:lineRule="auto"/>
              <w:rPr>
                <w:rFonts w:ascii="Arial" w:hAnsi="Arial" w:cs="Arial"/>
              </w:rPr>
            </w:pPr>
          </w:p>
          <w:p w:rsidR="00D1174D" w:rsidRPr="00F067D7" w:rsidRDefault="00D1174D">
            <w:pPr>
              <w:rPr>
                <w:rFonts w:ascii="Arial" w:hAnsi="Arial" w:cs="Arial"/>
                <w:color w:val="000000"/>
              </w:rPr>
            </w:pPr>
            <w:r w:rsidRPr="00F067D7">
              <w:rPr>
                <w:rFonts w:ascii="Arial" w:hAnsi="Arial" w:cs="Arial"/>
                <w:color w:val="000000"/>
              </w:rPr>
              <w:t>Podsystem dyskowy (NVMe Data):</w:t>
            </w:r>
          </w:p>
          <w:p w:rsidR="00D1174D" w:rsidRPr="00F067D7" w:rsidRDefault="00D1174D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</w:rPr>
            </w:pPr>
            <w:r w:rsidRPr="00F067D7">
              <w:rPr>
                <w:rFonts w:ascii="Arial" w:hAnsi="Arial" w:cs="Arial"/>
                <w:color w:val="000000"/>
              </w:rPr>
              <w:t>Chassis: Wersja obsługująca min. 8 dysków 2.5" NVMe (U.2/U.3) dostępnych z frontu (Hot-Swap).</w:t>
            </w:r>
          </w:p>
          <w:p w:rsidR="00D1174D" w:rsidRPr="00F067D7" w:rsidRDefault="00D1174D">
            <w:pPr>
              <w:rPr>
                <w:rFonts w:ascii="Arial" w:hAnsi="Arial" w:cs="Arial"/>
                <w:color w:val="000000"/>
              </w:rPr>
            </w:pPr>
            <w:r w:rsidRPr="00F067D7">
              <w:rPr>
                <w:rFonts w:ascii="Arial" w:hAnsi="Arial" w:cs="Arial"/>
                <w:color w:val="000000"/>
              </w:rPr>
              <w:t>Połączenie (Kluczowe):</w:t>
            </w:r>
          </w:p>
          <w:p w:rsidR="00D1174D" w:rsidRPr="00F067D7" w:rsidRDefault="00D1174D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</w:rPr>
            </w:pPr>
            <w:r w:rsidRPr="00F067D7">
              <w:rPr>
                <w:rFonts w:ascii="Arial" w:hAnsi="Arial" w:cs="Arial"/>
                <w:color w:val="000000"/>
              </w:rPr>
              <w:t>Wymagamy konfiguracji Direct Attach (bezpośrednie podłączenie backplane'u dyskowego do linii PCIe procesorów).</w:t>
            </w:r>
          </w:p>
          <w:p w:rsidR="00D1174D" w:rsidRPr="00F067D7" w:rsidRDefault="00D1174D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</w:rPr>
            </w:pPr>
            <w:r w:rsidRPr="00F067D7">
              <w:rPr>
                <w:rFonts w:ascii="Arial" w:hAnsi="Arial" w:cs="Arial"/>
                <w:color w:val="000000"/>
              </w:rPr>
              <w:t>Kontroler: Proszę NIE uwzględniać frontowego kontrolera RAID (typu PERC H755/H755N) dla dysków NVMe. Dyski muszą być widoczne dla systemu operacyjnego bezpośrednio (tryb No Controller / Passthrough), aby uniknąć wąskich gardeł wydajnościowych.</w:t>
            </w:r>
          </w:p>
          <w:p w:rsidR="00D1174D" w:rsidRPr="00F067D7" w:rsidRDefault="00D1174D">
            <w:pPr>
              <w:rPr>
                <w:rFonts w:ascii="Arial" w:hAnsi="Arial" w:cs="Arial"/>
                <w:color w:val="000000"/>
              </w:rPr>
            </w:pPr>
            <w:r w:rsidRPr="00F067D7">
              <w:rPr>
                <w:rFonts w:ascii="Arial" w:hAnsi="Arial" w:cs="Arial"/>
                <w:color w:val="000000"/>
              </w:rPr>
              <w:t>Podsystem rozruchowy (OS Boot):</w:t>
            </w:r>
          </w:p>
          <w:p w:rsidR="00D1174D" w:rsidRPr="00F067D7" w:rsidRDefault="00D1174D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</w:rPr>
            </w:pPr>
            <w:r w:rsidRPr="00F067D7">
              <w:rPr>
                <w:rFonts w:ascii="Arial" w:hAnsi="Arial" w:cs="Arial"/>
                <w:color w:val="000000"/>
              </w:rPr>
              <w:t>System operacyjny będzie odseparowany od danych.</w:t>
            </w:r>
          </w:p>
          <w:p w:rsidR="00D1174D" w:rsidRPr="00F067D7" w:rsidRDefault="00D1174D" w:rsidP="00F067D7">
            <w:pPr>
              <w:numPr>
                <w:ilvl w:val="0"/>
                <w:numId w:val="16"/>
              </w:numPr>
              <w:rPr>
                <w:rFonts w:ascii="Arial" w:hAnsi="Arial" w:cs="Arial"/>
                <w:color w:val="000000"/>
              </w:rPr>
            </w:pPr>
            <w:r w:rsidRPr="00F067D7">
              <w:rPr>
                <w:rFonts w:ascii="Arial" w:hAnsi="Arial" w:cs="Arial"/>
                <w:color w:val="000000"/>
              </w:rPr>
              <w:t>Proszę o uwzględnienie kontrolera BOSS-N1 (lub BOSS-S2) z dwoma dyskami M.2 w RAID 1 (sprzętowy mirror), montowanego z tyłu obudowy.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Wbudowane porty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7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x USB z czego nie mniej niż 1x USB 3.0, 2× porty konsoli wideo (co najmniej jeden VGA, drugi VGA lub DisplayPort)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Video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pStyle w:val="ListParagraph"/>
              <w:numPr>
                <w:ilvl w:val="0"/>
                <w:numId w:val="17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Zintegrowana karta graficzna umożliwiająca wyświetlenie rozdzielczości min. 1920x1200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Zasilacze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7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Redundantne, Hot-Plug min. 1100W każdy o efektywności min. 90% w pełnym zakresie obciążenia  2 sztuki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Bezpieczeństwo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Zatrzask górnej pokrywy oraz blokada na ramce panela zamykana na klucz służąca do ochrony nieautoryzowanego dostępu do dysków twardych.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Możliwość wyłączenia w BIOS funkcji przycisku zasilania.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BIOS ma możliwość przejścia do bezpiecznego trybu rozruchowego z możliwością zarządzania blokadą zasilania, panelem sterowania oraz zmianą hasła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Wbudowany czujnik otwarcia obudowy współpracujący z BIOS i kartą zarządzającą.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Moduł TPM 2.0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</w:rPr>
              <w:t>Możliwość dynamicznego włączania I wyłączania portów USB na obudowie – bez potrzeby restartu serwera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</w:rPr>
              <w:t>Możliwość wymazania danych ze znajdujących się dysków wewnątrz serwera – niezależne od zainstalowanego systemu operacyjnego, uruchamiane z poziomu zarządzania serwerem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Wentylatory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7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Redundantne, Hot-Plug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Karta Zarządzania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pStyle w:val="ListParagraph"/>
              <w:numPr>
                <w:ilvl w:val="0"/>
                <w:numId w:val="12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Niezależna od zainstalowanego na serwerze systemu operacyjnego posiadająca dedykowany port Gigabit Ethernet RJ-45 i umożliwiająca: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zdalny dostęp do graficznego interfejsu Web karty zarządzającej;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zdalne monitorowanie i informowanie o statusie serwera (m.in. prędkości obrotowej wentylatorów, konfiguracji serwera);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szyfrowane połączenie (TLS) oraz autentykacje i autoryzację użytkownika;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podmontowania zdalnych wirtualnych napędów;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wirtualną konsolę z dostępem do myszy, klawiatury;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IPv6;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wsparcie dla WSMAN (Web Service for Management); SNMP; IPMI2.0, SSH, Redfish;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zdalnego monitorowania w czasie rzeczywistym poboru prądu przez serwer;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zdalnego ustawienia limitu poboru prądu przez konkretny serwer;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integracja z Active Directory;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obsługi przez dwóch administratorów jednocześnie;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dynamic DNS;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wysyłanie do administratora maila z powiadomieniem o awarii lub zmianie konfiguracji sprzętowej.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bezpośredniego zarządzania poprzez dedykowany port USB na przednim panelu serwera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zarządzania do 100 serwerów bezpośrednio z konsoli karty zarządzającej pojedynczego serwera</w:t>
            </w:r>
          </w:p>
          <w:p w:rsidR="00D1174D" w:rsidRDefault="00D1174D">
            <w:pPr>
              <w:spacing w:after="0" w:line="271" w:lineRule="auto"/>
              <w:ind w:left="10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oraz z możliwością rozszerzenia funkcjonalności o: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Wirtualny schowek ułatwiający korzystanie z konsoli zdalnej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Przesyłanie danych telemetrycznych w czasie rzeczywistym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Dostosowanie zarządzania temperaturą i przepływem powietrza w serwerze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Automatyczna rejestracja certyfikatów (ACE)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Oprogramowanie do zarządzania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zainstalowania oprogramowania producenta do zarządzania, spełniającego poniższe wymagania: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serwerów, urządzeń sieciowych oraz pamięci masowych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integracja z Active Directory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zarządzania dostarczonymi serwerami bez udziału dedykowanego agenta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protokołów SNMP, IPMI, Linux SSH, Redfish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uruchamiania procesu wykrywania urządzeń w oparciu o harmonogram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Szczegółowy opis wykrytych systemów oraz ich komponentów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eksportu raportu do CSV, HTML, XLS, PDF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tworzenia własnych raportów w oparciu o wszystkie informacje zawarte w inwentarzu.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Grupowanie urządzeń w oparciu o kryteria użytkownika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uruchamiania narzędzi zarządzających w poszczególnych urządzeniach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Szybki podgląd stanu środowiska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stanu dla każdego urządzenia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Szczegółowy status urządzenia/elementu/komponentu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Generowanie alertów przy zmianie stanu urządzenia.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Filtry raportów umożliwiające podgląd najważniejszych zdarzeń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Integracja z service desk producenta dostarczonej platformy sprzętowej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przejęcia zdalnego pulpitu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podmontowania wirtualnego napędu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Kreator umożliwiający dostosowanie akcji dla wybranych alertów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importu plików MIB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Przesyłanie alertów „as-is” do innych konsol firm trzecich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definiowania ról administratorów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zdalnej aktualizacji oprogramowania wewnętrznego serwerów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Aktualizacja oparta o wybranie źródła bibliotek (lokalna, on-line producenta oferowanego rozwiązania)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instalacji oprogramowania wewnętrznego bez potrzeby instalacji agenta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automatycznego generowania i zgłaszania incydentów awarii bezpośrednio do centrum serwisowego producenta serwerów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tworzenia sprzętowej konfiguracji bazowej i na jej podstawie weryfikacji środowiska w celu wykrycia rozbieżności.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Wdrażanie serwerów, rozwiązań modularnych oraz przełączników sieciowych w oparciu o profile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migracji ustawień serwera wraz z wirtualnymi adresami sieciowymi (MAC, WWN, IQN) między urządzeniami.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Tworzenie gotowych paczek informacji umożliwiających zdiagnozowanie awarii urządzenia przez serwis producenta.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Zdalne uruchamianie diagnostyki serwera.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Dedykowana aplikacja na urządzenia mobilne integrująca się z wyżej opisanymi oprogramowaniem zarządzającym.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Oprogramowanie dostarczane jako wirtualny appliance dla KVM, ESXi i Hyper-V.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Wymóg integracji z Dell iDRAC / środowiskiem zarządzającym</w:t>
            </w:r>
          </w:p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53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Oferowane serwery muszą być w pełni zarządzalne z obecnie używanego przez Zamawiającego środowiska </w:t>
            </w:r>
            <w:r>
              <w:rPr>
                <w:rFonts w:ascii="Arial" w:hAnsi="Arial" w:cs="Arial"/>
                <w:b/>
                <w:bCs/>
                <w:color w:val="000000"/>
              </w:rPr>
              <w:t>Dell OpenManage Enterprise (OME) 4.x</w:t>
            </w:r>
            <w:r>
              <w:rPr>
                <w:rFonts w:ascii="Arial" w:hAnsi="Arial" w:cs="Arial"/>
                <w:color w:val="000000"/>
              </w:rPr>
              <w:t xml:space="preserve"> oraz modułów </w:t>
            </w:r>
            <w:r>
              <w:rPr>
                <w:rFonts w:ascii="Arial" w:hAnsi="Arial" w:cs="Arial"/>
                <w:b/>
                <w:bCs/>
                <w:color w:val="000000"/>
              </w:rPr>
              <w:t>iDRAC 9/10</w:t>
            </w:r>
            <w:r>
              <w:rPr>
                <w:rFonts w:ascii="Arial" w:hAnsi="Arial" w:cs="Arial"/>
                <w:color w:val="000000"/>
              </w:rPr>
              <w:t xml:space="preserve"> (lub nowszych), </w:t>
            </w:r>
            <w:r>
              <w:rPr>
                <w:rFonts w:ascii="Arial" w:hAnsi="Arial" w:cs="Arial"/>
                <w:b/>
                <w:bCs/>
                <w:color w:val="000000"/>
              </w:rPr>
              <w:t>lub równoważnego</w:t>
            </w:r>
            <w:r>
              <w:rPr>
                <w:rFonts w:ascii="Arial" w:hAnsi="Arial" w:cs="Arial"/>
                <w:color w:val="000000"/>
              </w:rPr>
              <w:t xml:space="preserve"> środowiska zarządzania.</w:t>
            </w:r>
          </w:p>
          <w:p w:rsidR="00D1174D" w:rsidRDefault="00D1174D">
            <w:pPr>
              <w:pStyle w:val="ListParagraph"/>
              <w:numPr>
                <w:ilvl w:val="0"/>
                <w:numId w:val="53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Zakres funkcjonalny dostępny z poziomu OME/iDRAC</w:t>
            </w:r>
            <w:r>
              <w:rPr>
                <w:rFonts w:ascii="Arial" w:hAnsi="Arial" w:cs="Arial"/>
                <w:color w:val="000000"/>
              </w:rPr>
              <w:t xml:space="preserve"> (lub równoważnego) musi obejmować co najmniej: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 </w:t>
            </w:r>
            <w:r>
              <w:rPr>
                <w:rFonts w:ascii="Arial" w:hAnsi="Arial" w:cs="Arial"/>
                <w:color w:val="000000"/>
              </w:rPr>
              <w:t>a) wykrywanie i inwentaryzację sprzętu, monitorowanie stanu/zdarzeń,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 </w:t>
            </w:r>
            <w:r>
              <w:rPr>
                <w:rFonts w:ascii="Arial" w:hAnsi="Arial" w:cs="Arial"/>
                <w:color w:val="000000"/>
              </w:rPr>
              <w:t xml:space="preserve">b) </w:t>
            </w:r>
            <w:r>
              <w:rPr>
                <w:rFonts w:ascii="Arial" w:hAnsi="Arial" w:cs="Arial"/>
                <w:b/>
                <w:bCs/>
                <w:color w:val="000000"/>
              </w:rPr>
              <w:t>konsolę zdalną (KVM) i wirtualne nośniki (virtual media) szyfrowane TLS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 </w:t>
            </w:r>
            <w:r>
              <w:rPr>
                <w:rFonts w:ascii="Arial" w:hAnsi="Arial" w:cs="Arial"/>
                <w:color w:val="000000"/>
              </w:rPr>
              <w:t xml:space="preserve">c) </w:t>
            </w:r>
            <w:r>
              <w:rPr>
                <w:rFonts w:ascii="Arial" w:hAnsi="Arial" w:cs="Arial"/>
                <w:b/>
                <w:bCs/>
                <w:color w:val="000000"/>
              </w:rPr>
              <w:t>monitoring i raportowanie mocy/termiki oraz ograniczanie mocy (power-capping)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 </w:t>
            </w:r>
            <w:r>
              <w:rPr>
                <w:rFonts w:ascii="Arial" w:hAnsi="Arial" w:cs="Arial"/>
                <w:color w:val="000000"/>
              </w:rPr>
              <w:t xml:space="preserve">d) polityki i raporty zgodności </w:t>
            </w:r>
            <w:r>
              <w:rPr>
                <w:rFonts w:ascii="Arial" w:hAnsi="Arial" w:cs="Arial"/>
                <w:b/>
                <w:bCs/>
                <w:color w:val="000000"/>
              </w:rPr>
              <w:t>firmware/driver</w:t>
            </w:r>
            <w:r>
              <w:rPr>
                <w:rFonts w:ascii="Arial" w:hAnsi="Arial" w:cs="Arial"/>
                <w:color w:val="000000"/>
              </w:rPr>
              <w:t xml:space="preserve"> (baseline compliance) i zdalne aktualizacje,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 </w:t>
            </w:r>
            <w:r>
              <w:rPr>
                <w:rFonts w:ascii="Arial" w:hAnsi="Arial" w:cs="Arial"/>
                <w:color w:val="000000"/>
              </w:rPr>
              <w:t xml:space="preserve">e) integrację </w:t>
            </w:r>
            <w:r>
              <w:rPr>
                <w:rFonts w:ascii="Arial" w:hAnsi="Arial" w:cs="Arial"/>
                <w:b/>
                <w:bCs/>
                <w:color w:val="000000"/>
              </w:rPr>
              <w:t>Active Directory/LDAP</w:t>
            </w:r>
            <w:r>
              <w:rPr>
                <w:rFonts w:ascii="Arial" w:hAnsi="Arial" w:cs="Arial"/>
                <w:color w:val="000000"/>
              </w:rPr>
              <w:t>, dostęp z rolami/uprawnieniami,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 </w:t>
            </w:r>
            <w:r>
              <w:rPr>
                <w:rFonts w:ascii="Arial" w:hAnsi="Arial" w:cs="Arial"/>
                <w:color w:val="000000"/>
              </w:rPr>
              <w:t xml:space="preserve">f) API i protokoły zarządzania: </w:t>
            </w:r>
            <w:r>
              <w:rPr>
                <w:rFonts w:ascii="Arial" w:hAnsi="Arial" w:cs="Arial"/>
                <w:b/>
                <w:bCs/>
                <w:color w:val="000000"/>
              </w:rPr>
              <w:t>DMTF Redfish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</w:rPr>
              <w:t>WS-MAN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</w:rPr>
              <w:t>SNMP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</w:rPr>
              <w:t>SSH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 </w:t>
            </w:r>
            <w:r>
              <w:rPr>
                <w:rFonts w:ascii="Arial" w:hAnsi="Arial" w:cs="Arial"/>
                <w:color w:val="000000"/>
              </w:rPr>
              <w:t xml:space="preserve">g) zarządzanie </w:t>
            </w:r>
            <w:r>
              <w:rPr>
                <w:rFonts w:ascii="Arial" w:hAnsi="Arial" w:cs="Arial"/>
                <w:b/>
                <w:bCs/>
                <w:color w:val="000000"/>
              </w:rPr>
              <w:t>one-to-many</w:t>
            </w:r>
            <w:r>
              <w:rPr>
                <w:rFonts w:ascii="Arial" w:hAnsi="Arial" w:cs="Arial"/>
                <w:color w:val="000000"/>
              </w:rPr>
              <w:t xml:space="preserve"> (co najmniej 100 serwerów z jednej konsoli).</w:t>
            </w:r>
          </w:p>
          <w:p w:rsidR="00D1174D" w:rsidRDefault="00D1174D">
            <w:pPr>
              <w:pStyle w:val="ListParagraph"/>
              <w:numPr>
                <w:ilvl w:val="0"/>
                <w:numId w:val="53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Równoważność</w:t>
            </w:r>
            <w:r>
              <w:rPr>
                <w:rFonts w:ascii="Arial" w:hAnsi="Arial" w:cs="Arial"/>
                <w:color w:val="000000"/>
              </w:rPr>
              <w:t xml:space="preserve"> oznacza zapewnienie funkcji z pkt 2 </w:t>
            </w:r>
            <w:r>
              <w:rPr>
                <w:rFonts w:ascii="Arial" w:hAnsi="Arial" w:cs="Arial"/>
                <w:b/>
                <w:bCs/>
                <w:color w:val="000000"/>
              </w:rPr>
              <w:t>z poziomu centralnej konsoli</w:t>
            </w:r>
            <w:r>
              <w:rPr>
                <w:rFonts w:ascii="Arial" w:hAnsi="Arial" w:cs="Arial"/>
                <w:color w:val="000000"/>
              </w:rPr>
              <w:t xml:space="preserve"> Zamawiającego oraz pełnej obsługi </w:t>
            </w:r>
            <w:r>
              <w:rPr>
                <w:rFonts w:ascii="Arial" w:hAnsi="Arial" w:cs="Arial"/>
                <w:b/>
                <w:bCs/>
                <w:color w:val="000000"/>
              </w:rPr>
              <w:t>DMTF Redfish (DSP0266/DSP0268)</w:t>
            </w:r>
            <w:r>
              <w:rPr>
                <w:rFonts w:ascii="Arial" w:hAnsi="Arial" w:cs="Arial"/>
                <w:color w:val="000000"/>
              </w:rPr>
              <w:t xml:space="preserve"> — potwierdzonej dokumentacją producenta.</w:t>
            </w:r>
          </w:p>
          <w:p w:rsidR="00D1174D" w:rsidRDefault="00D1174D">
            <w:pPr>
              <w:pStyle w:val="ListParagraph"/>
              <w:numPr>
                <w:ilvl w:val="0"/>
                <w:numId w:val="53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Wykonawca dostarczy wszelkie wymagane </w:t>
            </w:r>
            <w:r>
              <w:rPr>
                <w:rFonts w:ascii="Arial" w:hAnsi="Arial" w:cs="Arial"/>
                <w:b/>
                <w:bCs/>
                <w:color w:val="000000"/>
              </w:rPr>
              <w:t>wtyczki/connector’y</w:t>
            </w:r>
            <w:r>
              <w:rPr>
                <w:rFonts w:ascii="Arial" w:hAnsi="Arial" w:cs="Arial"/>
                <w:color w:val="000000"/>
              </w:rPr>
              <w:t xml:space="preserve"> i przeprowadzi konfigurację integracji w środowisku Zamawiającego.</w:t>
            </w:r>
          </w:p>
          <w:p w:rsidR="00D1174D" w:rsidRDefault="00D1174D">
            <w:pPr>
              <w:pStyle w:val="ListParagraph"/>
              <w:numPr>
                <w:ilvl w:val="0"/>
                <w:numId w:val="53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(Opcjonalnie, jeśli tego oczekujesz) </w:t>
            </w:r>
            <w:r>
              <w:rPr>
                <w:rFonts w:ascii="Arial" w:hAnsi="Arial" w:cs="Arial"/>
                <w:b/>
                <w:bCs/>
                <w:color w:val="000000"/>
              </w:rPr>
              <w:t>Wymagane funkcje z pkt 2 muszą być dostępne bez dodatkowych opłat licencyjnych</w:t>
            </w:r>
            <w:r>
              <w:rPr>
                <w:rFonts w:ascii="Arial" w:hAnsi="Arial" w:cs="Arial"/>
                <w:color w:val="000000"/>
              </w:rPr>
              <w:t xml:space="preserve"> ponad cenę oferty; jeżeli producent wymaga określonych licencji (np. iDRAC Enterprise), Wykonawca dostarcza je w ramach oferty.</w:t>
            </w:r>
          </w:p>
          <w:p w:rsidR="00D1174D" w:rsidRDefault="00D1174D">
            <w:pPr>
              <w:pStyle w:val="ListParagraph"/>
              <w:numPr>
                <w:ilvl w:val="0"/>
                <w:numId w:val="53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Test akceptacyjny po dostawie:</w:t>
            </w:r>
            <w:r>
              <w:rPr>
                <w:rFonts w:ascii="Arial" w:hAnsi="Arial" w:cs="Arial"/>
                <w:color w:val="000000"/>
              </w:rPr>
              <w:t xml:space="preserve"> Wykonawca, wspólnie z Zamawiającym, przeprowadzi w OME/iDRAC: wykrycie serwerów, inwentarz HW, uruchomienie zdalnej konsoli i virtual media, odczyt i raport </w:t>
            </w:r>
            <w:r>
              <w:rPr>
                <w:rFonts w:ascii="Arial" w:hAnsi="Arial" w:cs="Arial"/>
                <w:b/>
                <w:bCs/>
                <w:color w:val="000000"/>
              </w:rPr>
              <w:t>power/thermal</w:t>
            </w:r>
            <w:r>
              <w:rPr>
                <w:rFonts w:ascii="Arial" w:hAnsi="Arial" w:cs="Arial"/>
                <w:color w:val="000000"/>
              </w:rPr>
              <w:t xml:space="preserve"> w czasie rzeczywistym, konfigurację profilu firmware oraz uruchomienie polityki </w:t>
            </w:r>
            <w:r>
              <w:rPr>
                <w:rFonts w:ascii="Arial" w:hAnsi="Arial" w:cs="Arial"/>
                <w:b/>
                <w:bCs/>
                <w:color w:val="000000"/>
              </w:rPr>
              <w:t>power-capping</w:t>
            </w:r>
            <w:r>
              <w:rPr>
                <w:rFonts w:ascii="Arial" w:hAnsi="Arial" w:cs="Arial"/>
                <w:color w:val="000000"/>
              </w:rPr>
              <w:t>. Niespełnienie któregokolwiek z punktów skutkuje odmową odbioru do czasu usunięcia niezgodności.</w:t>
            </w:r>
          </w:p>
          <w:p w:rsidR="00D1174D" w:rsidRDefault="00D1174D">
            <w:pPr>
              <w:pStyle w:val="ListParagraph"/>
              <w:spacing w:after="0" w:line="271" w:lineRule="auto"/>
              <w:rPr>
                <w:rFonts w:ascii="Arial" w:hAnsi="Arial" w:cs="Arial"/>
                <w:color w:val="000000"/>
              </w:rPr>
            </w:pP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System operacyjny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Ze względu na potrzebę zachowania kompatybilności ze stosowanym obecnie przez Zamawiającego oprogramowaniem wymagane jest dostarczenie wraz z serwerem bezterminowej, nowej (nieaktywowanej wcześniej) licencji na oprogramowanie </w:t>
            </w:r>
            <w:r>
              <w:rPr>
                <w:rFonts w:ascii="Arial" w:hAnsi="Arial" w:cs="Arial"/>
                <w:b/>
                <w:bCs/>
                <w:color w:val="000000"/>
              </w:rPr>
              <w:t>MS Windows Server 2025  Datacenter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 xml:space="preserve">lub równoważnej licencja musi być dopasowana do ilości rdzeni procesora </w:t>
            </w:r>
            <w:r>
              <w:rPr>
                <w:rFonts w:ascii="Arial" w:hAnsi="Arial" w:cs="Arial"/>
                <w:b/>
                <w:bCs/>
              </w:rPr>
              <w:t>dla jednego serwera</w:t>
            </w:r>
            <w:r>
              <w:rPr>
                <w:rFonts w:ascii="Arial" w:hAnsi="Arial" w:cs="Arial"/>
              </w:rPr>
              <w:t xml:space="preserve"> oraz min. 50 bezterminowych licencji MS Windows Server 2025 UserCAL lub równoważnej do w/w środowiska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</w:tr>
      <w:tr w:rsidR="00D1174D">
        <w:trPr>
          <w:trHeight w:val="530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Dokumentacja użytkownika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3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wymaga dokumentacji w języku polskim lub angi</w:t>
            </w:r>
            <w:r>
              <w:rPr>
                <w:rFonts w:ascii="Arial" w:hAnsi="Arial" w:cs="Arial"/>
                <w:i/>
              </w:rPr>
              <w:t>e</w:t>
            </w:r>
            <w:r>
              <w:rPr>
                <w:rFonts w:ascii="Arial" w:hAnsi="Arial" w:cs="Arial"/>
              </w:rPr>
              <w:t>lskim.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D1174D">
        <w:trPr>
          <w:trHeight w:val="230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Warunki gwarancji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Gwarancji producenta lub sprzedawcy na okres min. 36 m-cy.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Nowy Sprzęt 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rozszerzenia gwarancji przez producenta do 7 lat.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oczekuje możliwości zgłaszania zdarzeń serwisowych w trybie 24/7/365 następującymi kanałami: telefonicznie, przez Internet oraz z wykorzystaniem aplikacji.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oczekuje rozpoczęcia diagnostyki telefonicznej / internetowej już w momencie dokonania zgłoszenia. Certyfikowany Technik wykonawcy / producenta z właściwym zestawem części do naprawy (potwierdzonym na etapie diagnostyki) ma rozpocząć naprawę w siedzibie zamawiającego najpóźniej w następnym dniu roboczym (NBD) od otrzymania zgłoszenia / zakończenia diagnostyki. Naprawa ma się odbywać w siedzibie zamawiającego, chyba, że zamawiający dla danej naprawy zgodzi się na inną formę.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wymaga pojedynczego punktu kontaktu dla całego rozwiązania producenta, w tym także sprzedanego oprogramowania.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Zgłoszenie przyjęte jest potwierdzane przez zespół pomocy technicznej (mail/telefon/aplikacja/portal) przez nadanie unikalnego numeru zgłoszenia pozwalającego na identyfikację zgłoszenia w trakcie realizacji naprawy i po jej zakończeniu.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oczekuje możliwości samodzielnego kwalifikowania poziomu ważności naprawy.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sprawdzenia statusu gwarancji poprzez stronę producenta podając unikatowy numer urządzenia oraz pobieranie uaktualnień mikrokodu oraz sterowników nawet w przypadku wygaśnięcia gwarancji serwera.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Automatyczną diagnostykę i zdalne otwieranie zgłoszeń serwisowych.</w:t>
            </w:r>
          </w:p>
          <w:p w:rsidR="00D1174D" w:rsidRDefault="00D1174D">
            <w:pPr>
              <w:spacing w:after="0" w:line="271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rozszerzenia gwarancji o: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Wyznaczonego przez wykonawcę Opiekuna Technicznego Klienta, do którego obowiązków będzie należało:</w:t>
            </w:r>
          </w:p>
          <w:p w:rsidR="00D1174D" w:rsidRDefault="00D1174D">
            <w:pPr>
              <w:pStyle w:val="ListParagraph"/>
              <w:numPr>
                <w:ilvl w:val="1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Monitorowanie zdarzeń w obrębie infrastruktury</w:t>
            </w:r>
          </w:p>
          <w:p w:rsidR="00D1174D" w:rsidRDefault="00D1174D">
            <w:pPr>
              <w:pStyle w:val="ListParagraph"/>
              <w:numPr>
                <w:ilvl w:val="1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Zarządzanie eskalacjami i współpraca z kierownikiem eskalacji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Przygotowywanie kwartalnych zaleceń dotyczące konserwacji infrastruktury sprzętowej (BIOS, firmware, patche)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Zdalne lub na miejscu wdrażanie poprawek - 2x w roku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Raportowanie realizacji kontraktów serwisowych i wykorzystania zasobów sprzętowych (na żądanie)</w:t>
            </w:r>
            <w:bookmarkStart w:id="1" w:name="_Hlk114755632"/>
            <w:bookmarkEnd w:id="1"/>
          </w:p>
        </w:tc>
      </w:tr>
    </w:tbl>
    <w:p w:rsidR="00D1174D" w:rsidRDefault="00D1174D">
      <w:pPr>
        <w:pStyle w:val="NoSpacing"/>
        <w:spacing w:line="271" w:lineRule="auto"/>
        <w:ind w:left="1080"/>
        <w:rPr>
          <w:rFonts w:ascii="Arial" w:hAnsi="Arial" w:cs="Arial"/>
        </w:rPr>
      </w:pPr>
    </w:p>
    <w:p w:rsidR="00D1174D" w:rsidRDefault="00D1174D">
      <w:pPr>
        <w:pStyle w:val="NoSpacing"/>
        <w:spacing w:line="271" w:lineRule="auto"/>
        <w:ind w:left="1080"/>
        <w:rPr>
          <w:rFonts w:ascii="Arial" w:hAnsi="Arial" w:cs="Arial"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sz w:val="28"/>
          <w:szCs w:val="28"/>
        </w:rPr>
      </w:pPr>
      <w:bookmarkStart w:id="2" w:name="_Toc221702250"/>
      <w:r>
        <w:rPr>
          <w:rFonts w:ascii="Arial" w:hAnsi="Arial" w:cs="Arial"/>
          <w:b/>
          <w:sz w:val="28"/>
          <w:szCs w:val="28"/>
        </w:rPr>
        <w:t>Dostawa komputera jednopłytkowego na potrzeby klastra – 1 szt.</w:t>
      </w:r>
      <w:bookmarkEnd w:id="2"/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Zakres zamówienia: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Dostawa wraz z wdrożeniem zestawu startowego z komputerem jednopłytkowym klasy „Pi 5” z 8 GB RAM, kartą peryferyjną dla dysków M.2 NVMe (PCIe), metalową obudową, oficjalnym aktywnym chłodzeniem lub równoważnym, kartą pamięci min. 64 GB z czytnikiem, zasilaczem USB C 27 W lub równoważnym.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Wymagania techniczne (minimalne)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Płyta główna i interfejsy</w:t>
      </w:r>
    </w:p>
    <w:p w:rsidR="00D1174D" w:rsidRDefault="00D1174D">
      <w:pPr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Komputer jednopłytkowy generacji „Pi 5” z 8 GB RAM, CPU czterordzeniowy klasy ARMv8 o taktowaniu ok. 2,4 GHz, dwa wyjścia microHDMI do pracy co najmniej 2× 4K/60 lub równoważnie, 2× USB 3.0, 2× USB 2.0, Gigabit Ethernet, Wi Fi dwupasmowe i Bluetooth 5/BLE lub równoważne</w:t>
      </w:r>
    </w:p>
    <w:p w:rsidR="00D1174D" w:rsidRDefault="00D1174D">
      <w:pPr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Złącze zasilania USB C z obsługą prądu do 5 A i zasilacza 27 W lub równoważne</w:t>
      </w:r>
    </w:p>
    <w:p w:rsidR="00D1174D" w:rsidRDefault="00D1174D">
      <w:pPr>
        <w:numPr>
          <w:ilvl w:val="0"/>
          <w:numId w:val="19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Interfejs PCIe 2.0 wyprowadzony do karty peryferyjnej M.2 (przez HAT/adapter) z obsługą nośników NVMe 2280/2242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Pamięć masowa</w:t>
      </w:r>
    </w:p>
    <w:p w:rsidR="00D1174D" w:rsidRDefault="00D1174D">
      <w:pPr>
        <w:numPr>
          <w:ilvl w:val="0"/>
          <w:numId w:val="20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Karta microSD min. 64 GB, klasa co najmniej U1/Class 10, kompatybilna z „Pi 5”, wraz z czytnikiem USB do przygotowania obrazu systemu.</w:t>
      </w:r>
    </w:p>
    <w:p w:rsidR="00D1174D" w:rsidRDefault="00D1174D">
      <w:pPr>
        <w:numPr>
          <w:ilvl w:val="0"/>
          <w:numId w:val="20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Karta peryferyjna M.2 NVMe (PCIe) dla „Pi 5” zapewniająca montaż dysku NVMe i widoczność urządzenia w systemie operacyjnym jako nośnika blokowego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Chłodzenie i obudowa</w:t>
      </w:r>
    </w:p>
    <w:p w:rsidR="00D1174D" w:rsidRDefault="00D1174D">
      <w:pPr>
        <w:numPr>
          <w:ilvl w:val="0"/>
          <w:numId w:val="21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Chłodzenie aktywne dedykowane do „Pi 5” (wentylator + radiator) klasy „oficjalne” lub równoważne, utrzymujące stabilną pracę CPU przy obciążeniu ciągłym bez throttlingu w temperaturach biurowych; wymagany montaż w dostarczonej obudowie</w:t>
      </w:r>
    </w:p>
    <w:p w:rsidR="00D1174D" w:rsidRDefault="00D1174D">
      <w:pPr>
        <w:numPr>
          <w:ilvl w:val="0"/>
          <w:numId w:val="21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Obudowa metalowa dopasowana do „Pi 5” z miejscem/otworami dla aktywnego chłodzenia i wyprowadzeniami złączy, możliwość dostępu do gniazda microSD i GPIO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Zasilanie</w:t>
      </w:r>
    </w:p>
    <w:p w:rsidR="00D1174D" w:rsidRDefault="00D1174D">
      <w:pPr>
        <w:numPr>
          <w:ilvl w:val="0"/>
          <w:numId w:val="22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Zasilacz sieciowy USB C 27 W lub równoważny, 5,1 V/5 A z PD, przewidziany do pracy ciągłej z „Pi 5” i kartą M.2 NVMe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Wyposażenie dodatkowe</w:t>
      </w:r>
    </w:p>
    <w:p w:rsidR="00D1174D" w:rsidRDefault="00D1174D">
      <w:pPr>
        <w:numPr>
          <w:ilvl w:val="0"/>
          <w:numId w:val="22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przewód microHDMI–HDMI min. 1 m, </w:t>
      </w:r>
    </w:p>
    <w:p w:rsidR="00D1174D" w:rsidRDefault="00D1174D">
      <w:pPr>
        <w:numPr>
          <w:ilvl w:val="0"/>
          <w:numId w:val="22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kabel Ethernet Cat.5e lub lepszy min. 1 m, </w:t>
      </w:r>
    </w:p>
    <w:p w:rsidR="00D1174D" w:rsidRDefault="00D1174D">
      <w:pPr>
        <w:numPr>
          <w:ilvl w:val="0"/>
          <w:numId w:val="22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elementy montażowe tj.: śruby, dystanse, taśmy FFC i przewody wymagane do montażu karty M.2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Wymagania jakościowe i dokumentacja</w:t>
      </w:r>
    </w:p>
    <w:p w:rsidR="00D1174D" w:rsidRDefault="00D1174D">
      <w:pPr>
        <w:numPr>
          <w:ilvl w:val="0"/>
          <w:numId w:val="23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Elementy fabrycznie nowe, z oficjalną dystrybucją UE, bez śladów użycia; instrukcja montażu karty M.2 dla „Pi 5”, instrukcja montażu obudowy i chłodzenia</w:t>
      </w:r>
    </w:p>
    <w:p w:rsidR="00D1174D" w:rsidRDefault="00D1174D">
      <w:pPr>
        <w:numPr>
          <w:ilvl w:val="0"/>
          <w:numId w:val="23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Oświadczenie o kompatybilności karty M.2 NVMe z „Pi 5” (PCIe 2.0) oraz wykaz wspieranych formatów dysków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Uruchomienie i testy</w:t>
      </w:r>
    </w:p>
    <w:p w:rsidR="00D1174D" w:rsidRDefault="00D1174D">
      <w:pPr>
        <w:numPr>
          <w:ilvl w:val="0"/>
          <w:numId w:val="24"/>
        </w:num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Montaż zestawu, aktualizacja firmware płyty do bieżącej wersji, test POST/boot do środowiska graficznego, test detekcji nośnika NVMe (lsblk lub równoważnie) i test obciążeniowy 10 min bez throttlingu.</w:t>
      </w:r>
    </w:p>
    <w:p w:rsidR="00D1174D" w:rsidRDefault="00D1174D">
      <w:pPr>
        <w:spacing w:after="0" w:line="271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Gwarancja i wsparcie</w:t>
      </w:r>
    </w:p>
    <w:p w:rsidR="00D1174D" w:rsidRDefault="00D1174D">
      <w:pPr>
        <w:numPr>
          <w:ilvl w:val="0"/>
          <w:numId w:val="24"/>
        </w:numPr>
        <w:spacing w:after="0" w:line="271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Gwarancja 24 miesiące:</w:t>
      </w:r>
    </w:p>
    <w:p w:rsidR="00D1174D" w:rsidRDefault="00D1174D">
      <w:pPr>
        <w:pStyle w:val="NoSpacing"/>
        <w:spacing w:line="271" w:lineRule="auto"/>
        <w:ind w:left="1080"/>
        <w:rPr>
          <w:rFonts w:ascii="Arial" w:hAnsi="Arial" w:cs="Arial"/>
          <w:b/>
          <w:bCs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sz w:val="28"/>
          <w:szCs w:val="28"/>
        </w:rPr>
      </w:pPr>
      <w:bookmarkStart w:id="3" w:name="_Toc221702251"/>
      <w:r>
        <w:rPr>
          <w:rFonts w:ascii="Arial" w:hAnsi="Arial" w:cs="Arial"/>
          <w:b/>
          <w:sz w:val="28"/>
          <w:szCs w:val="28"/>
        </w:rPr>
        <w:t>Dostawa systemu zasilania awaryjnego na potrzeby komputera jednopłytkowego – 1 szt.</w:t>
      </w:r>
      <w:bookmarkEnd w:id="3"/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Dostawa przenośnego akumulatora litowo-jonowe o napięciu nominalnym 12,8 V, pojemności min. 6000 mAh i energii min. 72 Wh, z wielofunkcyjnymi złączami wyjściowymi, systemem zarządzania baterią  oraz ładowarką, wraz z gwarancją producenta.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Zakres zamówienia</w:t>
      </w:r>
    </w:p>
    <w:p w:rsidR="00D1174D" w:rsidRDefault="00D1174D">
      <w:pPr>
        <w:pStyle w:val="ListParagraph"/>
        <w:numPr>
          <w:ilvl w:val="0"/>
          <w:numId w:val="3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dostawa akumulatora przenośnego spełniającego wymagania minimalne opisane poniżej, w komplecie z akcesoriami i ładowarką.</w:t>
      </w:r>
    </w:p>
    <w:p w:rsidR="00D1174D" w:rsidRDefault="00D1174D">
      <w:pPr>
        <w:pStyle w:val="ListParagraph"/>
        <w:numPr>
          <w:ilvl w:val="0"/>
          <w:numId w:val="3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gwarancja producenta min. 24 miesiące na akumulator i akcesoria.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Minimalne wymagania techniczne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Parametry elektryczne akumulatora:</w:t>
      </w:r>
    </w:p>
    <w:p w:rsidR="00D1174D" w:rsidRDefault="00D1174D">
      <w:pPr>
        <w:pStyle w:val="ListParagraph"/>
        <w:numPr>
          <w:ilvl w:val="0"/>
          <w:numId w:val="3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Technologia: akumulator litowo-jonowe</w:t>
      </w:r>
    </w:p>
    <w:p w:rsidR="00D1174D" w:rsidRDefault="00D1174D">
      <w:pPr>
        <w:pStyle w:val="ListParagraph"/>
        <w:numPr>
          <w:ilvl w:val="0"/>
          <w:numId w:val="3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Napięcie nominalne: 12,8 V ±0,2 V</w:t>
      </w:r>
    </w:p>
    <w:p w:rsidR="00D1174D" w:rsidRDefault="00D1174D">
      <w:pPr>
        <w:pStyle w:val="ListParagraph"/>
        <w:numPr>
          <w:ilvl w:val="0"/>
          <w:numId w:val="3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Pojemność: min. 6000 mAh</w:t>
      </w:r>
    </w:p>
    <w:p w:rsidR="00D1174D" w:rsidRDefault="00D1174D">
      <w:pPr>
        <w:pStyle w:val="ListParagraph"/>
        <w:numPr>
          <w:ilvl w:val="0"/>
          <w:numId w:val="3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Energia: min. 72 Wh</w:t>
      </w:r>
    </w:p>
    <w:p w:rsidR="00D1174D" w:rsidRDefault="00D1174D">
      <w:pPr>
        <w:pStyle w:val="ListParagraph"/>
        <w:numPr>
          <w:ilvl w:val="0"/>
          <w:numId w:val="3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Napięcie ładowania: 14,4-14,6 V</w:t>
      </w:r>
    </w:p>
    <w:p w:rsidR="00D1174D" w:rsidRDefault="00D1174D">
      <w:pPr>
        <w:pStyle w:val="ListParagraph"/>
        <w:numPr>
          <w:ilvl w:val="0"/>
          <w:numId w:val="3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Prąd ładowania: min. 3 A</w:t>
      </w:r>
    </w:p>
    <w:p w:rsidR="00D1174D" w:rsidRDefault="00D1174D">
      <w:pPr>
        <w:pStyle w:val="ListParagraph"/>
        <w:numPr>
          <w:ilvl w:val="0"/>
          <w:numId w:val="3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Prąd rozładowania ciągły: min. 10 A</w:t>
      </w:r>
    </w:p>
    <w:p w:rsidR="00D1174D" w:rsidRDefault="00D1174D">
      <w:pPr>
        <w:pStyle w:val="ListParagraph"/>
        <w:numPr>
          <w:ilvl w:val="0"/>
          <w:numId w:val="3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Maksymalny prąd rozładowania: min. 15 A (przez okres min. 30 sekund)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Złącza wyjściowe:</w:t>
      </w:r>
    </w:p>
    <w:p w:rsidR="00D1174D" w:rsidRDefault="00D1174D">
      <w:pPr>
        <w:pStyle w:val="ListParagraph"/>
        <w:numPr>
          <w:ilvl w:val="0"/>
          <w:numId w:val="3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Wyjście DC 12 V: min. 1 złącze z możliwością regulacji napięcia w zakresie 10-14,6 V lub stałe 12 V.</w:t>
      </w:r>
    </w:p>
    <w:p w:rsidR="00D1174D" w:rsidRDefault="00D1174D">
      <w:pPr>
        <w:pStyle w:val="ListParagraph"/>
        <w:numPr>
          <w:ilvl w:val="0"/>
          <w:numId w:val="3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Wyjście DC 9 V: min. 1 złącze z maksymalnym prądem min. 1,5 A</w:t>
      </w:r>
    </w:p>
    <w:p w:rsidR="00D1174D" w:rsidRDefault="00D1174D">
      <w:pPr>
        <w:pStyle w:val="ListParagraph"/>
        <w:numPr>
          <w:ilvl w:val="0"/>
          <w:numId w:val="3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Wyjścia USB: min. 2 porty USB 5 V z łącznym prądem wyjściowym min. 2 A.</w:t>
      </w:r>
    </w:p>
    <w:p w:rsidR="00D1174D" w:rsidRDefault="00D1174D">
      <w:pPr>
        <w:pStyle w:val="ListParagraph"/>
        <w:numPr>
          <w:ilvl w:val="0"/>
          <w:numId w:val="3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Wszystkie wyjścia muszą być zabezpieczone przed przeciążeniem i zwarciem.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Zestaw:</w:t>
      </w:r>
    </w:p>
    <w:p w:rsidR="00D1174D" w:rsidRDefault="00D1174D">
      <w:pPr>
        <w:pStyle w:val="ListParagraph"/>
        <w:numPr>
          <w:ilvl w:val="0"/>
          <w:numId w:val="3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dedykowana ładowarka do akumulatorów Litowo-jonowe.</w:t>
      </w:r>
    </w:p>
    <w:p w:rsidR="00D1174D" w:rsidRDefault="00D1174D">
      <w:pPr>
        <w:pStyle w:val="ListParagraph"/>
        <w:numPr>
          <w:ilvl w:val="0"/>
          <w:numId w:val="3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Napięcie wejściowe: 100-240 V AC, 50/60 Hz.</w:t>
      </w:r>
    </w:p>
    <w:p w:rsidR="00D1174D" w:rsidRDefault="00D1174D">
      <w:pPr>
        <w:pStyle w:val="ListParagraph"/>
        <w:numPr>
          <w:ilvl w:val="0"/>
          <w:numId w:val="3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Napięcie wyjściowe: 14,4-14,6 V DC.</w:t>
      </w:r>
    </w:p>
    <w:p w:rsidR="00D1174D" w:rsidRDefault="00D1174D">
      <w:pPr>
        <w:pStyle w:val="ListParagraph"/>
        <w:numPr>
          <w:ilvl w:val="0"/>
          <w:numId w:val="3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Prąd ładowania: min. 3 A.</w:t>
      </w:r>
    </w:p>
    <w:p w:rsidR="00D1174D" w:rsidRDefault="00D1174D">
      <w:pPr>
        <w:pStyle w:val="ListParagraph"/>
        <w:numPr>
          <w:ilvl w:val="0"/>
          <w:numId w:val="3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Wskaźnik stanu ładowania (LED).</w:t>
      </w:r>
    </w:p>
    <w:p w:rsidR="00D1174D" w:rsidRDefault="00D1174D">
      <w:pPr>
        <w:pStyle w:val="ListParagraph"/>
        <w:numPr>
          <w:ilvl w:val="0"/>
          <w:numId w:val="3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Zabezpieczenia: przeciwprzepięciowe, przeciwprądowe, przeciwzwarciowe.</w:t>
      </w:r>
    </w:p>
    <w:p w:rsidR="00D1174D" w:rsidRDefault="00D1174D">
      <w:pPr>
        <w:pStyle w:val="ListParagraph"/>
        <w:numPr>
          <w:ilvl w:val="0"/>
          <w:numId w:val="3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Przewód zasilający min. 1,5 m z wtyczką EU.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Wymagania serwisowe:</w:t>
      </w:r>
    </w:p>
    <w:p w:rsidR="00D1174D" w:rsidRDefault="00D1174D">
      <w:pPr>
        <w:pStyle w:val="ListParagraph"/>
        <w:numPr>
          <w:ilvl w:val="0"/>
          <w:numId w:val="3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Gwarancja 12 miesięcy.</w:t>
      </w:r>
    </w:p>
    <w:p w:rsidR="00D1174D" w:rsidRDefault="00D1174D">
      <w:pPr>
        <w:spacing w:after="0" w:line="271" w:lineRule="auto"/>
        <w:ind w:left="360"/>
        <w:rPr>
          <w:rFonts w:ascii="Arial" w:hAnsi="Arial" w:cs="Arial"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bCs/>
          <w:sz w:val="28"/>
          <w:szCs w:val="28"/>
        </w:rPr>
      </w:pPr>
      <w:bookmarkStart w:id="4" w:name="_Toc221702252"/>
      <w:r>
        <w:rPr>
          <w:rFonts w:ascii="Arial" w:hAnsi="Arial" w:cs="Arial"/>
          <w:b/>
          <w:bCs/>
          <w:sz w:val="28"/>
          <w:szCs w:val="28"/>
        </w:rPr>
        <w:t>Dostawa kluczy sprzętowych do zabezpieczenia logowania do klastra – 2 szt.</w:t>
      </w:r>
      <w:bookmarkEnd w:id="4"/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Dostawa kompaktowego klucza sprzętowego uwierzytelniania dwuskładnikowego z interfejsem USB-C, obsługującego wieloprotokołowe standardy bezpieczeństwa FIDO2/U2F, wraz z dokumentacją i gwarancją producenta.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Zakres zamówienia:</w:t>
      </w:r>
    </w:p>
    <w:p w:rsidR="00D1174D" w:rsidRDefault="00D1174D">
      <w:pPr>
        <w:pStyle w:val="ListParagraph"/>
        <w:numPr>
          <w:ilvl w:val="0"/>
          <w:numId w:val="4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2 szt. klucza sprzętowego spełniającego wymagania minimalne opisane poniżej.</w:t>
      </w:r>
    </w:p>
    <w:p w:rsidR="00D1174D" w:rsidRDefault="00D1174D">
      <w:pPr>
        <w:pStyle w:val="ListParagraph"/>
        <w:numPr>
          <w:ilvl w:val="0"/>
          <w:numId w:val="4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Dostawa z instrukcją obsługi w języku polskim lub angielskim oraz dokumentacją techniczną.</w:t>
      </w:r>
    </w:p>
    <w:p w:rsidR="00D1174D" w:rsidRDefault="00D1174D">
      <w:pPr>
        <w:pStyle w:val="ListParagraph"/>
        <w:numPr>
          <w:ilvl w:val="0"/>
          <w:numId w:val="4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Gwarancja producenta min. 24 miesiące.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Minimalne wymagania techniczne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Interfejs komunikacyjny:</w:t>
      </w:r>
    </w:p>
    <w:p w:rsidR="00D1174D" w:rsidRDefault="00D1174D">
      <w:pPr>
        <w:pStyle w:val="ListParagraph"/>
        <w:numPr>
          <w:ilvl w:val="0"/>
          <w:numId w:val="4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Złącze USB-C (USB 3.0 lub nowszy).</w:t>
      </w:r>
    </w:p>
    <w:p w:rsidR="00D1174D" w:rsidRDefault="00D1174D">
      <w:pPr>
        <w:pStyle w:val="ListParagraph"/>
        <w:numPr>
          <w:ilvl w:val="0"/>
          <w:numId w:val="4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Plug-and-play działanie bez instalacji dodatkowego oprogramowania.</w:t>
      </w:r>
    </w:p>
    <w:p w:rsidR="00D1174D" w:rsidRDefault="00D1174D">
      <w:pPr>
        <w:pStyle w:val="ListParagraph"/>
        <w:numPr>
          <w:ilvl w:val="0"/>
          <w:numId w:val="4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Kompatybilność z systemami: Windows, macOS, Linux, Chrome OS oraz Android (przez NFC i USB-C, iOS (przez NFC) i szersze wsparcie dla urządzeń mobilnych obsługujących NFC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Obsługiwane protokoły uwierzytelniania: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FIDO2 (CTAP1 i CTAP2)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Universal 2nd Factor (U2F)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WebAuth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Yubico OTP (One-Time Password)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OATH-HOTP (Event-based)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OATH-TOTP (Time-based)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Smart Card (PIV-compatible)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OpenPGP.[5][1]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Algorytmy szyfrowania:</w:t>
      </w:r>
    </w:p>
    <w:p w:rsidR="00D1174D" w:rsidRDefault="00D1174D">
      <w:pPr>
        <w:pStyle w:val="ListParagraph"/>
        <w:numPr>
          <w:ilvl w:val="0"/>
          <w:numId w:val="4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RSA 2048, RSA 3072, RSA 4096 (PGP)</w:t>
      </w:r>
    </w:p>
    <w:p w:rsidR="00D1174D" w:rsidRDefault="00D1174D">
      <w:pPr>
        <w:pStyle w:val="ListParagraph"/>
        <w:numPr>
          <w:ilvl w:val="0"/>
          <w:numId w:val="4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ECC P256, ECC P384</w:t>
      </w:r>
    </w:p>
    <w:p w:rsidR="00D1174D" w:rsidRDefault="00D1174D">
      <w:pPr>
        <w:pStyle w:val="ListParagraph"/>
        <w:numPr>
          <w:ilvl w:val="0"/>
          <w:numId w:val="4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ED25519, X25519</w:t>
      </w:r>
    </w:p>
    <w:p w:rsidR="00D1174D" w:rsidRDefault="00D1174D">
      <w:pPr>
        <w:pStyle w:val="ListParagraph"/>
        <w:numPr>
          <w:ilvl w:val="0"/>
          <w:numId w:val="4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Secure Static Passwords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Wymiary i konstrukcja:</w:t>
      </w:r>
    </w:p>
    <w:p w:rsidR="00D1174D" w:rsidRDefault="00D1174D">
      <w:pPr>
        <w:pStyle w:val="ListParagraph"/>
        <w:numPr>
          <w:ilvl w:val="0"/>
          <w:numId w:val="4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Maksymalne wymiary: 13 x 12 x 3 mm (format nano)</w:t>
      </w:r>
    </w:p>
    <w:p w:rsidR="00D1174D" w:rsidRDefault="00D1174D">
      <w:pPr>
        <w:pStyle w:val="ListParagraph"/>
        <w:numPr>
          <w:ilvl w:val="0"/>
          <w:numId w:val="4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Obudowa odporna na warunki atmosferyczne</w:t>
      </w:r>
    </w:p>
    <w:p w:rsidR="00D1174D" w:rsidRDefault="00D1174D">
      <w:pPr>
        <w:pStyle w:val="ListParagraph"/>
        <w:numPr>
          <w:ilvl w:val="0"/>
          <w:numId w:val="4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Klasa szczelności: min. IP68 (ochrona przed wodą i kurzem)</w:t>
      </w:r>
    </w:p>
    <w:p w:rsidR="00D1174D" w:rsidRDefault="00D1174D">
      <w:pPr>
        <w:pStyle w:val="ListParagraph"/>
        <w:numPr>
          <w:ilvl w:val="0"/>
          <w:numId w:val="4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Materiał obudowy odporny na uszkodzenia mechaniczne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Funkcjonalność: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Uwierzytelnianie przez dotknięcie przycisku na kluczu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Ochrona przed atakami phishingowymi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Brak przechowywania danych osobowych użytkownika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Kryptograficzna ochrona tożsamości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Wsparcie dla uwierzytelniania wieloskładnikowego (MFA)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Funkcjonalność NFC:</w:t>
      </w:r>
    </w:p>
    <w:p w:rsidR="00D1174D" w:rsidRDefault="00D1174D">
      <w:pPr>
        <w:pStyle w:val="ListParagraph"/>
        <w:numPr>
          <w:ilvl w:val="0"/>
          <w:numId w:val="5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standardu ISO/IEC 14443 Type A</w:t>
      </w:r>
    </w:p>
    <w:p w:rsidR="00D1174D" w:rsidRDefault="00D1174D">
      <w:pPr>
        <w:pStyle w:val="ListParagraph"/>
        <w:numPr>
          <w:ilvl w:val="0"/>
          <w:numId w:val="5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Zasięg komunikacji NFC: 1-4 cm</w:t>
      </w:r>
    </w:p>
    <w:p w:rsidR="00D1174D" w:rsidRDefault="00D1174D">
      <w:pPr>
        <w:pStyle w:val="ListParagraph"/>
        <w:numPr>
          <w:ilvl w:val="0"/>
          <w:numId w:val="5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Automatyczna aktywacja przy zbliżeniu do urządzenia z NFC</w:t>
      </w:r>
    </w:p>
    <w:p w:rsidR="00D1174D" w:rsidRDefault="00D1174D">
      <w:pPr>
        <w:pStyle w:val="ListParagraph"/>
        <w:numPr>
          <w:ilvl w:val="0"/>
          <w:numId w:val="5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Kompatybilność z aplikacjami mobilnymi obsługującymi uwierzytelnianie NFC </w:t>
      </w:r>
    </w:p>
    <w:p w:rsidR="00D1174D" w:rsidRDefault="00D1174D">
      <w:pPr>
        <w:pStyle w:val="ListParagraph"/>
        <w:numPr>
          <w:ilvl w:val="0"/>
          <w:numId w:val="5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FIDO2/U2F przez protokół NFC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Kompatybilność z usługami:</w:t>
      </w:r>
    </w:p>
    <w:p w:rsidR="00D1174D" w:rsidRDefault="00D1174D">
      <w:pPr>
        <w:pStyle w:val="ListParagraph"/>
        <w:numPr>
          <w:ilvl w:val="0"/>
          <w:numId w:val="4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popularnych usług internetowych obsługujących standardy FIDO2/U2F</w:t>
      </w:r>
    </w:p>
    <w:p w:rsidR="00D1174D" w:rsidRDefault="00D1174D">
      <w:pPr>
        <w:pStyle w:val="ListParagraph"/>
        <w:numPr>
          <w:ilvl w:val="0"/>
          <w:numId w:val="4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Kompatybilność z systemami zarządzania tożsamością (IAM)</w:t>
      </w:r>
    </w:p>
    <w:p w:rsidR="00D1174D" w:rsidRDefault="00D1174D">
      <w:pPr>
        <w:pStyle w:val="ListParagraph"/>
        <w:numPr>
          <w:ilvl w:val="0"/>
          <w:numId w:val="4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Wsparcie dla usług chmurowych i korporacyjnych</w:t>
      </w:r>
    </w:p>
    <w:p w:rsidR="00D1174D" w:rsidRDefault="00D1174D">
      <w:pPr>
        <w:pStyle w:val="ListParagraph"/>
        <w:numPr>
          <w:ilvl w:val="0"/>
          <w:numId w:val="4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integracji z menedżerami haseł obsługującymi klucze sprzętowe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Funkcje zaawansowane:</w:t>
      </w:r>
    </w:p>
    <w:p w:rsidR="00D1174D" w:rsidRDefault="00D1174D">
      <w:pPr>
        <w:pStyle w:val="ListParagraph"/>
        <w:numPr>
          <w:ilvl w:val="0"/>
          <w:numId w:val="4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przechowywania certyfikatów i kluczy prywatnych</w:t>
      </w:r>
    </w:p>
    <w:p w:rsidR="00D1174D" w:rsidRDefault="00D1174D">
      <w:pPr>
        <w:pStyle w:val="ListParagraph"/>
        <w:numPr>
          <w:ilvl w:val="0"/>
          <w:numId w:val="4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szyfrowania poczty e-mail</w:t>
      </w:r>
    </w:p>
    <w:p w:rsidR="00D1174D" w:rsidRDefault="00D1174D">
      <w:pPr>
        <w:pStyle w:val="ListParagraph"/>
        <w:numPr>
          <w:ilvl w:val="0"/>
          <w:numId w:val="4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Uwierzytelnianie SSH</w:t>
      </w:r>
    </w:p>
    <w:p w:rsidR="00D1174D" w:rsidRDefault="00D1174D">
      <w:pPr>
        <w:pStyle w:val="ListParagraph"/>
        <w:numPr>
          <w:ilvl w:val="0"/>
          <w:numId w:val="4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Funkcjonalność karty inteligentnej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Bezpieczeństwo:</w:t>
      </w:r>
    </w:p>
    <w:p w:rsidR="00D1174D" w:rsidRDefault="00D1174D">
      <w:pPr>
        <w:pStyle w:val="ListParagraph"/>
        <w:numPr>
          <w:ilvl w:val="0"/>
          <w:numId w:val="4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Odporność na ataki malware</w:t>
      </w:r>
    </w:p>
    <w:p w:rsidR="00D1174D" w:rsidRDefault="00D1174D">
      <w:pPr>
        <w:pStyle w:val="ListParagraph"/>
        <w:numPr>
          <w:ilvl w:val="0"/>
          <w:numId w:val="4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Zabezpieczenie przed klonowaniem</w:t>
      </w:r>
    </w:p>
    <w:p w:rsidR="00D1174D" w:rsidRDefault="00D1174D">
      <w:pPr>
        <w:pStyle w:val="ListParagraph"/>
        <w:numPr>
          <w:ilvl w:val="0"/>
          <w:numId w:val="4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Brak możliwości zdalnego dostępu do klucza</w:t>
      </w:r>
    </w:p>
    <w:p w:rsidR="00D1174D" w:rsidRDefault="00D1174D">
      <w:pPr>
        <w:pStyle w:val="ListParagraph"/>
        <w:numPr>
          <w:ilvl w:val="0"/>
          <w:numId w:val="4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Ochrona przed atakami man-in-the-middle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Uwagi wdrożeniowe: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Klucz będzie wykorzystywany do zabezpieczenia dostępu do systemów informatycznych organizacji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Wymagana jest możliwość masowego wdrażania i zarządzania wieloma kluczami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Zamawiający przewiduje integrację z istniejącymi systemami Active Directory lub równoważnymi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Klucz musi pozostać funkcjonalny przy stałym podłączeniu do portu USB-C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Wymagania serwisowe:</w:t>
      </w:r>
    </w:p>
    <w:p w:rsidR="00D1174D" w:rsidRDefault="00D1174D">
      <w:pPr>
        <w:pStyle w:val="ListParagraph"/>
        <w:numPr>
          <w:ilvl w:val="0"/>
          <w:numId w:val="5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wymiany wadliwych egzemplarzy</w:t>
      </w:r>
    </w:p>
    <w:p w:rsidR="00D1174D" w:rsidRDefault="00D1174D">
      <w:pPr>
        <w:pStyle w:val="ListParagraph"/>
        <w:numPr>
          <w:ilvl w:val="0"/>
          <w:numId w:val="5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Dokumentacja techniczna i instrukcje integracji w języku polskim lub angielskim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bCs/>
          <w:sz w:val="28"/>
          <w:szCs w:val="28"/>
        </w:rPr>
      </w:pPr>
      <w:bookmarkStart w:id="5" w:name="_Toc221702253"/>
      <w:r>
        <w:rPr>
          <w:rFonts w:ascii="Arial" w:hAnsi="Arial" w:cs="Arial"/>
          <w:b/>
          <w:bCs/>
          <w:sz w:val="28"/>
          <w:szCs w:val="28"/>
        </w:rPr>
        <w:t>Dostawa przełącznika zarządzalnego – 1 szt.</w:t>
      </w:r>
      <w:bookmarkEnd w:id="5"/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celu budowy klastra HA, wymaganym jest dostarczenie przełącznika oraz innych elementów funkcjonalnych, współpracujących z oferowanym systemem bezpieczeństwa, o następujących parametrach: 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Porty i interfejsy:</w:t>
      </w:r>
    </w:p>
    <w:p w:rsidR="00D1174D" w:rsidRDefault="00D1174D">
      <w:pPr>
        <w:pStyle w:val="ListParagraph"/>
        <w:numPr>
          <w:ilvl w:val="0"/>
          <w:numId w:val="2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Minimum 32 gniazda SFP28, każde zdolne do pracy z modułami 25G oraz kompatybilne w dół z 10G i 1G, z automatyczną negocjacją prędkości lub konfiguracją ręczną.</w:t>
      </w:r>
    </w:p>
    <w:p w:rsidR="00D1174D" w:rsidRDefault="00D1174D">
      <w:pPr>
        <w:pStyle w:val="ListParagraph"/>
        <w:numPr>
          <w:ilvl w:val="0"/>
          <w:numId w:val="2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ramek jumbo (co najmniej 9K).</w:t>
      </w:r>
    </w:p>
    <w:p w:rsidR="00D1174D" w:rsidRDefault="00D1174D">
      <w:pPr>
        <w:pStyle w:val="ListParagraph"/>
        <w:numPr>
          <w:ilvl w:val="0"/>
          <w:numId w:val="2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Port mirroring, izolacja portów, ograniczanie przepustowości wyjściowej na port.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Wydajność:</w:t>
      </w:r>
    </w:p>
    <w:p w:rsidR="00D1174D" w:rsidRDefault="00D1174D">
      <w:pPr>
        <w:pStyle w:val="ListParagraph"/>
        <w:numPr>
          <w:ilvl w:val="0"/>
          <w:numId w:val="2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Przepustowość przełączania co najmniej 1,6 Tb/s.</w:t>
      </w:r>
    </w:p>
    <w:p w:rsidR="00D1174D" w:rsidRDefault="00D1174D">
      <w:pPr>
        <w:pStyle w:val="ListParagraph"/>
        <w:numPr>
          <w:ilvl w:val="0"/>
          <w:numId w:val="2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Prędkość przekazywania pakietów co najmniej 1,2 Bpps.</w:t>
      </w:r>
    </w:p>
    <w:p w:rsidR="00D1174D" w:rsidRDefault="00D1174D">
      <w:pPr>
        <w:pStyle w:val="ListParagraph"/>
        <w:numPr>
          <w:ilvl w:val="0"/>
          <w:numId w:val="2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Tablica MAC co najmniej 32 000 wpisów.</w:t>
      </w:r>
    </w:p>
    <w:p w:rsidR="00D1174D" w:rsidRDefault="00D1174D">
      <w:pPr>
        <w:pStyle w:val="ListParagraph"/>
        <w:numPr>
          <w:ilvl w:val="0"/>
          <w:numId w:val="2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Bufor pakietów co najmniej 8 MB.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Funkcje warstwy 2:</w:t>
      </w:r>
    </w:p>
    <w:p w:rsidR="00D1174D" w:rsidRDefault="00D1174D">
      <w:pPr>
        <w:pStyle w:val="ListParagraph"/>
        <w:numPr>
          <w:ilvl w:val="0"/>
          <w:numId w:val="2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IEEE 802.1Q VLAN, min. 1 000 VLAN; Voice VLAN; LLDP/LLDP MED.</w:t>
      </w:r>
    </w:p>
    <w:p w:rsidR="00D1174D" w:rsidRDefault="00D1174D">
      <w:pPr>
        <w:pStyle w:val="ListParagraph"/>
        <w:numPr>
          <w:ilvl w:val="0"/>
          <w:numId w:val="2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STP/RSTP, agregacja łączy LACP (IEEE 802.1AX/802.3ad).</w:t>
      </w:r>
    </w:p>
    <w:p w:rsidR="00D1174D" w:rsidRDefault="00D1174D">
      <w:pPr>
        <w:pStyle w:val="ListParagraph"/>
        <w:numPr>
          <w:ilvl w:val="0"/>
          <w:numId w:val="2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IGMP snooping z opcją querier, Fast Leave i oznaczeniem portu routera dla ruchu multicast.</w:t>
      </w:r>
    </w:p>
    <w:p w:rsidR="00D1174D" w:rsidRDefault="00D1174D">
      <w:pPr>
        <w:pStyle w:val="ListParagraph"/>
        <w:numPr>
          <w:ilvl w:val="0"/>
          <w:numId w:val="2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Kontrola przepływu zgodna ze standardem IEEE 802.3x (flow control).</w:t>
      </w:r>
    </w:p>
    <w:p w:rsidR="00D1174D" w:rsidRDefault="00D1174D">
      <w:pPr>
        <w:pStyle w:val="ListParagraph"/>
        <w:numPr>
          <w:ilvl w:val="0"/>
          <w:numId w:val="2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DHCP snooping i ochrona (guard), blokowanie adresów MAC, listy ACL oparte o MAC/IP.</w:t>
      </w:r>
    </w:p>
    <w:p w:rsidR="00D1174D" w:rsidRDefault="00D1174D">
      <w:pPr>
        <w:pStyle w:val="ListParagraph"/>
        <w:numPr>
          <w:ilvl w:val="0"/>
          <w:numId w:val="2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Autoryzacja 802.1X (port-based).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Funkcje warstwy 3:</w:t>
      </w:r>
    </w:p>
    <w:p w:rsidR="00D1174D" w:rsidRDefault="00D1174D">
      <w:pPr>
        <w:pStyle w:val="ListParagraph"/>
        <w:numPr>
          <w:ilvl w:val="0"/>
          <w:numId w:val="2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Inter VLAN routing, statyczne trasy IPv4, DHCP server oraz DHCP relay w obrębie sieci lokalnych przełącznika.</w:t>
      </w:r>
    </w:p>
    <w:p w:rsidR="00D1174D" w:rsidRDefault="00D1174D">
      <w:pPr>
        <w:pStyle w:val="ListParagraph"/>
        <w:numPr>
          <w:ilvl w:val="0"/>
          <w:numId w:val="2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Tabela L3: min. 256 000 tras IPv4 i 128 000 wpisów ARP (dopuszcza się wartości równoważne zapewniające nie mniejszą funkcjonalność).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Zarządzanie:</w:t>
      </w:r>
    </w:p>
    <w:p w:rsidR="00D1174D" w:rsidRDefault="00D1174D">
      <w:pPr>
        <w:pStyle w:val="ListParagraph"/>
        <w:numPr>
          <w:ilvl w:val="0"/>
          <w:numId w:val="2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Zarządzanie scentralizowane (kontroler) lub równoważne, dostęp in band, wizualizacja stanu portów i zdarzeń, możliwość aktualizacji oprogramowania.</w:t>
      </w:r>
    </w:p>
    <w:p w:rsidR="00D1174D" w:rsidRDefault="00D1174D">
      <w:pPr>
        <w:pStyle w:val="ListParagraph"/>
        <w:numPr>
          <w:ilvl w:val="0"/>
          <w:numId w:val="2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Rejestrowanie zdarzeń i podstawowe statystyki per port, eksport logów do systemu zewnętrznego (np. poprzez syslog lub równoważny mechanizm).</w:t>
      </w:r>
    </w:p>
    <w:p w:rsidR="00D1174D" w:rsidRDefault="00D1174D">
      <w:pPr>
        <w:pStyle w:val="ListParagraph"/>
        <w:numPr>
          <w:ilvl w:val="0"/>
          <w:numId w:val="2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lokalnej diagnostyki statusu (np. wbudowany wyświetlacz LCM) lub równoważny interfejs diagnostyczny.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Zasilanie i niezawodność:</w:t>
      </w:r>
    </w:p>
    <w:p w:rsidR="00D1174D" w:rsidRDefault="00D1174D">
      <w:pPr>
        <w:pStyle w:val="ListParagraph"/>
        <w:numPr>
          <w:ilvl w:val="0"/>
          <w:numId w:val="3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Zasilanie AC 240 V, 50/60 Hz, wewnętrzny zasilacz.</w:t>
      </w:r>
    </w:p>
    <w:p w:rsidR="00D1174D" w:rsidRDefault="00D1174D">
      <w:pPr>
        <w:pStyle w:val="ListParagraph"/>
        <w:numPr>
          <w:ilvl w:val="0"/>
          <w:numId w:val="3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podłączenia redundantnego zasilania zewnętrznego (port RPS lub równoważny), zapewniająca podtrzymanie pracy w razie awarii zasilacza wewnętrznego.</w:t>
      </w:r>
    </w:p>
    <w:p w:rsidR="00D1174D" w:rsidRDefault="00D1174D">
      <w:pPr>
        <w:pStyle w:val="ListParagraph"/>
        <w:numPr>
          <w:ilvl w:val="0"/>
          <w:numId w:val="3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Maksymalny pobór mocy urządzenia nie większy niż 200 W.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Warunki środowiskowe i budowa:</w:t>
      </w:r>
    </w:p>
    <w:p w:rsidR="00D1174D" w:rsidRDefault="00D1174D">
      <w:pPr>
        <w:pStyle w:val="ListParagraph"/>
        <w:numPr>
          <w:ilvl w:val="0"/>
          <w:numId w:val="3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Obudowa 1U do montażu w szafie 19", materiał metalowy, zestaw szyn/uchwytów w komplecie.</w:t>
      </w:r>
    </w:p>
    <w:p w:rsidR="00D1174D" w:rsidRDefault="00D1174D">
      <w:pPr>
        <w:pStyle w:val="ListParagraph"/>
        <w:numPr>
          <w:ilvl w:val="0"/>
          <w:numId w:val="3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Zgodność z normami CE oraz FCC/IC lub równoważnymi do puszczeniami wymaganymi dla rynku UE.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Bezpieczeństwo i dostępność:</w:t>
      </w:r>
    </w:p>
    <w:p w:rsidR="00D1174D" w:rsidRDefault="00D1174D">
      <w:pPr>
        <w:pStyle w:val="ListParagraph"/>
        <w:numPr>
          <w:ilvl w:val="0"/>
          <w:numId w:val="3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tworzenia ACL per port/VLAN, izolacji urządzeń, ograniczania ruchu multicast/broadcast.</w:t>
      </w:r>
    </w:p>
    <w:p w:rsidR="00D1174D" w:rsidRDefault="00D1174D">
      <w:pPr>
        <w:pStyle w:val="ListParagraph"/>
        <w:numPr>
          <w:ilvl w:val="0"/>
          <w:numId w:val="3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LLDP do automatycznej inwentaryzacji i topologii.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Kompatybilność i transceivery</w:t>
      </w:r>
    </w:p>
    <w:p w:rsidR="00D1174D" w:rsidRDefault="00D1174D">
      <w:pPr>
        <w:pStyle w:val="ListParagraph"/>
        <w:numPr>
          <w:ilvl w:val="0"/>
          <w:numId w:val="3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Wymagana obsługa wkładek SFP28 25G oraz kompatybilność z wkładkami SFP+ 10G i SFP 1G, z możliwością mieszanej pracy portów przy 1G/10G; dopuszcza się ograniczenia producenta w trybie 25G, o ile spełnione są minimalne wymagania 32× 25G dostępnych jednocześnie.</w:t>
      </w:r>
    </w:p>
    <w:p w:rsidR="00D1174D" w:rsidRDefault="00D1174D">
      <w:pPr>
        <w:pStyle w:val="ListParagraph"/>
        <w:numPr>
          <w:ilvl w:val="0"/>
          <w:numId w:val="3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Zamawiający dopuszcza równoważne moduły optyczne zgodne ze standardami MSA dla SFP/SFP+/SFP28.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Wymogi dotyczące oprogramowania</w:t>
      </w:r>
    </w:p>
    <w:p w:rsidR="00D1174D" w:rsidRDefault="00D1174D">
      <w:pPr>
        <w:numPr>
          <w:ilvl w:val="0"/>
          <w:numId w:val="5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Oprogramowanie układowe z funkcjami L2/L3 wskazanymi powyżej, z możliwością bezpłatnych aktualizacji zabezpieczeń w trakcie gwarancji.</w:t>
      </w:r>
    </w:p>
    <w:p w:rsidR="00D1174D" w:rsidRDefault="00D1174D">
      <w:pPr>
        <w:numPr>
          <w:ilvl w:val="0"/>
          <w:numId w:val="5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Centralne zarządzanie kontrolerowe lub równoważne (instalacja on prem lub w chmurze) bez konieczności opłat subskrypcyjnych za podstawową funkcjonalność przełącznika.</w:t>
      </w:r>
    </w:p>
    <w:p w:rsidR="00D1174D" w:rsidRDefault="00D1174D">
      <w:pPr>
        <w:numPr>
          <w:ilvl w:val="0"/>
          <w:numId w:val="5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Urządzenie musi być w pełni zarządzane za pomocą używanego aktualnie systemu </w:t>
      </w:r>
      <w:r>
        <w:rPr>
          <w:rFonts w:ascii="Arial" w:hAnsi="Arial" w:cs="Arial"/>
          <w:b/>
          <w:bCs/>
        </w:rPr>
        <w:t>UniFi Controller</w:t>
      </w:r>
      <w:r>
        <w:rPr>
          <w:rFonts w:ascii="Arial" w:hAnsi="Arial" w:cs="Arial"/>
        </w:rPr>
        <w:t xml:space="preserve"> (wersja 9 lub nowsza). Wszystkie funkcje zarządzania (ACL, 802.1X, DHCP snooping, routing, inter-VLAN itp.) muszą być dostępne i konfigurowalne poprzez GUI tego kontrolera bez potrzeby stosowania niezależnego interfejsu CLI lub konsoli dedykowanej. Oferent zobowiązany jest najpóźniej przy odbiorze do przedstawienia deklaracji producenta/zdawkowej informacji technicznej potwierdzającej zgodność oferowanego modelu ze wskazanym kontrolerem. 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Wymagania serwisowe i gwarancyjne</w:t>
      </w:r>
    </w:p>
    <w:p w:rsidR="00D1174D" w:rsidRDefault="00D1174D">
      <w:pPr>
        <w:pStyle w:val="ListParagraph"/>
        <w:numPr>
          <w:ilvl w:val="0"/>
          <w:numId w:val="3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Gwarancja producenta min. 24 miesięcy,</w:t>
      </w:r>
    </w:p>
    <w:p w:rsidR="00D1174D" w:rsidRDefault="00D1174D">
      <w:pPr>
        <w:pStyle w:val="ListParagraph"/>
        <w:spacing w:after="0" w:line="271" w:lineRule="auto"/>
        <w:rPr>
          <w:rFonts w:ascii="Arial" w:hAnsi="Arial" w:cs="Arial"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bCs/>
          <w:sz w:val="28"/>
          <w:szCs w:val="28"/>
        </w:rPr>
      </w:pPr>
      <w:bookmarkStart w:id="6" w:name="_Toc221702254"/>
      <w:r>
        <w:rPr>
          <w:rFonts w:ascii="Arial" w:hAnsi="Arial" w:cs="Arial"/>
          <w:b/>
          <w:bCs/>
          <w:sz w:val="28"/>
          <w:szCs w:val="28"/>
        </w:rPr>
        <w:t>Zakup serwera na potrzeby systemu sporządzania kopii zapasowych – 1 szt.</w:t>
      </w:r>
      <w:bookmarkEnd w:id="6"/>
    </w:p>
    <w:p w:rsidR="00D1174D" w:rsidRDefault="00D1174D">
      <w:pPr>
        <w:pStyle w:val="NoSpacing"/>
        <w:spacing w:line="271" w:lineRule="auto"/>
        <w:ind w:left="1800"/>
        <w:rPr>
          <w:rFonts w:ascii="Arial" w:hAnsi="Arial" w:cs="Arial"/>
          <w:b/>
          <w:bCs/>
        </w:rPr>
      </w:pPr>
    </w:p>
    <w:tbl>
      <w:tblPr>
        <w:tblW w:w="9049" w:type="dxa"/>
        <w:tblInd w:w="2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41"/>
        <w:gridCol w:w="6808"/>
      </w:tblGrid>
      <w:tr w:rsidR="00D1174D">
        <w:trPr>
          <w:trHeight w:val="624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Parametr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i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Charakterystyka (wymagania minimalne)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Obudowa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0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Obudowa Rack o wysokości max 4U z kompletem wysuwanych szyn umożliwiających montaż w szafie rack i wysuwanie serwera do celów serwisowych oraz organizatorem do kabli.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Płyta główna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1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Płyta główna z możliwością zainstalowania do dwóch procesorów.</w:t>
            </w:r>
          </w:p>
          <w:p w:rsidR="00D1174D" w:rsidRDefault="00D1174D">
            <w:pPr>
              <w:pStyle w:val="ListParagraph"/>
              <w:numPr>
                <w:ilvl w:val="0"/>
                <w:numId w:val="11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Obsługa procesorów 32 rdzeniowych.</w:t>
            </w:r>
          </w:p>
          <w:p w:rsidR="00D1174D" w:rsidRDefault="00D1174D">
            <w:pPr>
              <w:pStyle w:val="ListParagraph"/>
              <w:numPr>
                <w:ilvl w:val="0"/>
                <w:numId w:val="11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Płyta główna musi być zaprojektowana przez producenta serwera i oznaczona jego znakiem firmowym.</w:t>
            </w:r>
          </w:p>
          <w:p w:rsidR="00D1174D" w:rsidRDefault="00D1174D">
            <w:pPr>
              <w:pStyle w:val="ListParagraph"/>
              <w:numPr>
                <w:ilvl w:val="0"/>
                <w:numId w:val="11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Płyta główna powinna obsługiwać min 1TB pamięci RAM.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Chipset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contextualSpacing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Dedykowany przez producenta procesora do pracy w serwerach dwuprocesorowych</w:t>
            </w:r>
          </w:p>
        </w:tc>
      </w:tr>
      <w:tr w:rsidR="00D1174D">
        <w:trPr>
          <w:trHeight w:val="916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Procesor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Zainstalowane dwa procesory min. 12-rdzeniowe (każdy), min. 2.4GHz, klasy x86 dedykowane do pracy z zaoferowanym serwerem umożliwiające osiągnięcie wyniku min. 230 pkt w teście SPECrate2017_int_base, dostępnym na stronie www.spec.org dla konfiguracji dwuprocesorowej.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RAM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Minimum 256GB DDR5 RDIMM 5600MT/s,</w:t>
            </w:r>
          </w:p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płycie głównej powinno znajdować się minimum 16 slotów przeznaczonych do instalacji pamięci.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Gniazda PCI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contextualSpacing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minimum cztery sloty PCIe 16 gen.4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Interfejsy sieciowe/FC/SAS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9"/>
              </w:numPr>
              <w:spacing w:after="0" w:line="271" w:lineRule="auto"/>
              <w:contextualSpacing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Zintegrowane lub zainstalowane co najmniej 2× 1 Gb Ethernet Base</w:t>
            </w:r>
            <w:r>
              <w:rPr>
                <w:rFonts w:ascii="Arial" w:hAnsi="Arial" w:cs="Arial"/>
                <w:color w:val="000000"/>
              </w:rPr>
              <w:noBreakHyphen/>
              <w:t>T oraz 4× 25 Gb Ethernet SFP28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Kontroler RAID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Kontroler SAS/SATA obsługujący wewnętrzne napędy dyskowe.</w:t>
            </w:r>
          </w:p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Wymagana obsługa trybu HBA (Host Bus Adapter) / Passthrough / JBOD, w którym system operacyjny widzi fizyczne dyski bezpośrednio, bez konieczności tworzenia macierzy RAID.</w:t>
            </w:r>
          </w:p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Jeżeli oferowany kontroler posiada funkcje RAID, musi posiadać możliwość ich całkowitego wyłączenia lub przełączenia kontrolera w tryb "HBA Mode" / "Non-RAID Mode" z poziomu firmware/BIOS.</w:t>
            </w:r>
          </w:p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Rozwiązania polegające na tworzeniu pojedynczych woluminów RAID 0 dla każdego dysku (Single Drive RAID 0) są niedopuszczalne.</w:t>
            </w:r>
          </w:p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Musi zapewniać pełną obsługę komend SMART dla podłączonych dysków w systemie operacyjnym.</w:t>
            </w:r>
          </w:p>
          <w:p w:rsidR="00D1174D" w:rsidRDefault="00D1174D">
            <w:pPr>
              <w:pStyle w:val="ListParagraph"/>
              <w:spacing w:after="0" w:line="271" w:lineRule="auto"/>
              <w:rPr>
                <w:rFonts w:ascii="Arial" w:hAnsi="Arial" w:cs="Arial"/>
              </w:rPr>
            </w:pP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</w:rPr>
              <w:t>Dyski twarde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Zainstalowane min. 18 dysków serwerowych SATA 7.2k obr./min. o pojemności min. 20TB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Wbudowane porty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7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x USB z czego nie mniej niż 1x USB 3.0, 1x VGA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Video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pStyle w:val="ListParagraph"/>
              <w:numPr>
                <w:ilvl w:val="0"/>
                <w:numId w:val="17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Zintegrowana karta graficzna umożliwiająca wyświetlenie rozdzielczości min. 1920x1200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Zasilacze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7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Redundantne, Hot-Plug min. 1100W każdy o efektywności min. 90% w pełnym zakresie obciążenia  2 sztuki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Wentylatory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7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Redundantne, Hot-Plug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Bezpieczeństwo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contextualSpacing w:val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Zatrzask górnej pokrywy oraz blokada na ramce panela zamykana na klucz służąca do ochrony nieautoryzowanego dostępu do dysków twardych.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contextualSpacing w:val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Możliwość wyłączenia w BIOS funkcji przycisku zasilania.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contextualSpacing w:val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BIOS ma możliwość przejścia do bezpiecznego trybu rozruchowego z możliwością zarządzania blokadą zasilania, panelem sterowania oraz zmianą hasła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contextualSpacing w:val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Wbudowany czujnik otwarcia obudowy współpracujący z BIOS i kartą zarządzającą.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Moduł TPM 2.0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textAlignment w:val="baseline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</w:rPr>
              <w:t>Możliwość dynamicznego włączania i wyłączania portów USB na obudowie – bez potrzeby restartu serwera</w:t>
            </w:r>
          </w:p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contextualSpacing w:val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Możliwość wymazania danych ze znajdujących się dysków wewnątrz serwera – niezależne od zainstalowanego systemu operacyjnego, uruchamiane z poziomu zarządzania serwerem.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Karta Zarządzania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pStyle w:val="ListParagraph"/>
              <w:numPr>
                <w:ilvl w:val="0"/>
                <w:numId w:val="12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Niezależna od zainstalowanego na serwerze systemu operacyjnego posiadająca dedykowany port Gigabit Ethernet RJ-45 i umożliwiająca: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zdalny dostęp do graficznego interfejsu Web karty zarządzającej;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zdalne monitorowanie i informowanie o statusie serwera (m.in. prędkości obrotowej wentylatorów, konfiguracji serwera);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szyfrowane połączenie (TLS) oraz autentykacje i autoryzację użytkownika;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podmontowania zdalnych wirtualnych napędów;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wirtualną konsolę z dostępem do myszy, klawiatury;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IPv6;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wsparcie dla WSMAN (Web Service for Management); SNMP; IPMI2.0, SSH, Redfish;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zdalnego monitorowania w czasie rzeczywistym poboru prądu przez serwer;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zdalnego ustawienia limitu poboru prądu przez konkretny serwer;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integracja z Active Directory;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obsługi przez dwóch administratorów jednocześnie;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dynamic DNS;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wysyłanie do administratora maila z powiadomieniem o awarii lub zmianie konfiguracji sprzętowej.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bezpośredniego zarządzania poprzez dedykowany port USB na przednim panelu serwera</w:t>
            </w:r>
          </w:p>
          <w:p w:rsidR="00D1174D" w:rsidRDefault="00D1174D">
            <w:pPr>
              <w:spacing w:after="0" w:line="271" w:lineRule="auto"/>
              <w:ind w:left="10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oraz z możliwością rozszerzenia funkcjonalności o: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Wirtualny schowek ułatwiający korzystanie z konsoli zdalnej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Przesyłanie danych telemetrycznych w czasie rzeczywistym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Dostosowanie zarządzania temperaturą i przepływem powietrza w serwerze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Automatyczna rejestracja certyfikatów (ACE)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Oprogramowanie do zarządzania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pStyle w:val="ListParagraph"/>
              <w:numPr>
                <w:ilvl w:val="0"/>
                <w:numId w:val="5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zainstalowania oprogramowania producenta do zarządzania, spełniającego poniższe wymagania: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serwerów, urządzeń sieciowych oraz pamięci masowych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integracja z Active Directory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zarządzania dostarczonymi serwerami bez udziału dedykowanego agenta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Wsparcie dla protokołów SNMP, IPMI, Linux SSH, Redfish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uruchamiania procesu wykrywania urządzeń w oparciu o harmonogram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Szczegółowy opis wykrytych systemów oraz ich komponentów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eksportu raportu do CSV, HTML, XLS, PDF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tworzenia własnych raportów w oparciu o wszystkie informacje zawarte w inwentarzu.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Grupowanie urządzeń w oparciu o kryteria użytkownika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Tworzenie automatycznie grup urządzeń w oparciu o dowolny element konfiguracji serwera np. Nazwa, lokalizacja, system operacyjny, obsadzenie slotów PCIe, pozostałego czasu gwarancji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uruchamiania narzędzi zarządzających w poszczególnych urządzeniach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Szybki podgląd stanu środowiska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stanu dla każdego urządzenia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Szczegółowy status urządzenia/elementu/komponentu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Generowanie alertów przy zmianie stanu urządzenia.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Filtry raportów umożliwiające podgląd najważniejszych zdarzeń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Integracja z service desk producenta dostarczonej platformy sprzętowej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przejęcia zdalnego pulpitu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podmontowania wirtualnego napędu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Kreator umożliwiający dostosowanie akcji dla wybranych alertów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importu plików MIB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Przesyłanie alertów „as-is” do innych konsol firm trzecich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definiowania ról administratorów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zdalnej aktualizacji oprogramowania wewnętrznego serwerów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Aktualizacja oparta o wybranie źródła bibliotek (lokalna, on-line producenta oferowanego rozwiązania)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instalacji oprogramowania wewnętrznego bez potrzeby instalacji agenta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automatycznego generowania i zgłaszania incydentów awarii bezpośrednio do centrum serwisowego producenta serwerów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tworzenia sprzętowej konfiguracji bazowej i na jej podstawie weryfikacji środowiska w celu wykrycia rozbieżności.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Wdrażanie serwerów, rozwiązań modularnych oraz przełączników sieciowych w oparciu o profile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migracji ustawień serwera wraz z wirtualnymi adresami sieciowymi (MAC, WWN, IQN) między urządzeniami.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Tworzenie gotowych paczek informacji umożliwiających zdiagnozowanie awarii urządzenia przez serwis producenta.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Zdalne uruchamianie diagnostyki serwera.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Dedykowana aplikacja na urządzenia mobilne integrująca się z wyżej opisanymi oprogramowaniem zarządzającym.</w:t>
            </w:r>
          </w:p>
          <w:p w:rsidR="00D1174D" w:rsidRDefault="00D1174D">
            <w:pPr>
              <w:pStyle w:val="ListParagraph"/>
              <w:numPr>
                <w:ilvl w:val="1"/>
                <w:numId w:val="6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Oprogramowanie dostarczane jako wirtualny appliance dla KVM, ESXi i Hyper-V.</w:t>
            </w: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Wymóg integracji z Dell iDRAC / środowiskiem zarządzającym</w:t>
            </w:r>
          </w:p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numPr>
                <w:ilvl w:val="0"/>
                <w:numId w:val="54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Oferowane serwery muszą być w pełni zarządzalne z obecnie używanego przez Zamawiającego środowiska </w:t>
            </w:r>
            <w:r>
              <w:rPr>
                <w:rFonts w:ascii="Arial" w:hAnsi="Arial" w:cs="Arial"/>
                <w:b/>
                <w:bCs/>
              </w:rPr>
              <w:t>Dell OpenManage Enterprise (OME) 4.x</w:t>
            </w:r>
            <w:r>
              <w:rPr>
                <w:rFonts w:ascii="Arial" w:hAnsi="Arial" w:cs="Arial"/>
              </w:rPr>
              <w:t xml:space="preserve"> oraz modułów </w:t>
            </w:r>
            <w:r>
              <w:rPr>
                <w:rFonts w:ascii="Arial" w:hAnsi="Arial" w:cs="Arial"/>
                <w:b/>
                <w:bCs/>
              </w:rPr>
              <w:t>iDRAC 9/10</w:t>
            </w:r>
            <w:r>
              <w:rPr>
                <w:rFonts w:ascii="Arial" w:hAnsi="Arial" w:cs="Arial"/>
              </w:rPr>
              <w:t xml:space="preserve"> (lub nowszych), </w:t>
            </w:r>
            <w:r>
              <w:rPr>
                <w:rFonts w:ascii="Arial" w:hAnsi="Arial" w:cs="Arial"/>
                <w:b/>
                <w:bCs/>
              </w:rPr>
              <w:t>lub równoważnego</w:t>
            </w:r>
            <w:r>
              <w:rPr>
                <w:rFonts w:ascii="Arial" w:hAnsi="Arial" w:cs="Arial"/>
              </w:rPr>
              <w:t xml:space="preserve"> środowiska zarządzania.</w:t>
            </w:r>
          </w:p>
          <w:p w:rsidR="00D1174D" w:rsidRDefault="00D1174D">
            <w:pPr>
              <w:numPr>
                <w:ilvl w:val="0"/>
                <w:numId w:val="54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Zakres funkcjonalny dostępny z poziomu OME/iDRAC</w:t>
            </w:r>
            <w:r>
              <w:rPr>
                <w:rFonts w:ascii="Arial" w:hAnsi="Arial" w:cs="Arial"/>
              </w:rPr>
              <w:t xml:space="preserve"> (lub równoważnego) musi obejmować co najmniej: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 </w:t>
            </w:r>
            <w:r>
              <w:rPr>
                <w:rFonts w:ascii="Arial" w:hAnsi="Arial" w:cs="Arial"/>
              </w:rPr>
              <w:t>a) wykrywanie i inwentaryzację sprzętu, monitorowanie stanu/zdarzeń,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 </w:t>
            </w:r>
            <w:r>
              <w:rPr>
                <w:rFonts w:ascii="Arial" w:hAnsi="Arial" w:cs="Arial"/>
              </w:rPr>
              <w:t xml:space="preserve">b) </w:t>
            </w:r>
            <w:r>
              <w:rPr>
                <w:rFonts w:ascii="Arial" w:hAnsi="Arial" w:cs="Arial"/>
                <w:b/>
                <w:bCs/>
              </w:rPr>
              <w:t>konsolę zdalną (KVM) i wirtualne nośniki (virtual media) szyfrowane TLS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 </w:t>
            </w:r>
            <w:r>
              <w:rPr>
                <w:rFonts w:ascii="Arial" w:hAnsi="Arial" w:cs="Arial"/>
              </w:rPr>
              <w:t xml:space="preserve">c) </w:t>
            </w:r>
            <w:r>
              <w:rPr>
                <w:rFonts w:ascii="Arial" w:hAnsi="Arial" w:cs="Arial"/>
                <w:b/>
                <w:bCs/>
              </w:rPr>
              <w:t>monitoring i raportowanie mocy/termiki oraz ograniczanie mocy (power-capping)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 </w:t>
            </w:r>
            <w:r>
              <w:rPr>
                <w:rFonts w:ascii="Arial" w:hAnsi="Arial" w:cs="Arial"/>
              </w:rPr>
              <w:t xml:space="preserve">d) polityki i raporty zgodności </w:t>
            </w:r>
            <w:r>
              <w:rPr>
                <w:rFonts w:ascii="Arial" w:hAnsi="Arial" w:cs="Arial"/>
                <w:b/>
                <w:bCs/>
              </w:rPr>
              <w:t>firmware/driver</w:t>
            </w:r>
            <w:r>
              <w:rPr>
                <w:rFonts w:ascii="Arial" w:hAnsi="Arial" w:cs="Arial"/>
              </w:rPr>
              <w:t xml:space="preserve"> (baseline compliance) i zdalne aktualizacje,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 </w:t>
            </w:r>
            <w:r>
              <w:rPr>
                <w:rFonts w:ascii="Arial" w:hAnsi="Arial" w:cs="Arial"/>
              </w:rPr>
              <w:t xml:space="preserve">e) integrację </w:t>
            </w:r>
            <w:r>
              <w:rPr>
                <w:rFonts w:ascii="Arial" w:hAnsi="Arial" w:cs="Arial"/>
                <w:b/>
                <w:bCs/>
              </w:rPr>
              <w:t>Active Directory/LDAP</w:t>
            </w:r>
            <w:r>
              <w:rPr>
                <w:rFonts w:ascii="Arial" w:hAnsi="Arial" w:cs="Arial"/>
              </w:rPr>
              <w:t>, dostęp z rolami/uprawnieniami,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 </w:t>
            </w:r>
            <w:r>
              <w:rPr>
                <w:rFonts w:ascii="Arial" w:hAnsi="Arial" w:cs="Arial"/>
              </w:rPr>
              <w:t xml:space="preserve">f) API i protokoły zarządzania: </w:t>
            </w:r>
            <w:r>
              <w:rPr>
                <w:rFonts w:ascii="Arial" w:hAnsi="Arial" w:cs="Arial"/>
                <w:b/>
                <w:bCs/>
              </w:rPr>
              <w:t>DMTF Redfish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b/>
                <w:bCs/>
              </w:rPr>
              <w:t>WS-MAN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b/>
                <w:bCs/>
              </w:rPr>
              <w:t>SNMP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b/>
                <w:bCs/>
              </w:rPr>
              <w:t>SSH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 </w:t>
            </w:r>
            <w:r>
              <w:rPr>
                <w:rFonts w:ascii="Arial" w:hAnsi="Arial" w:cs="Arial"/>
              </w:rPr>
              <w:t xml:space="preserve">g) zarządzanie </w:t>
            </w:r>
            <w:r>
              <w:rPr>
                <w:rFonts w:ascii="Arial" w:hAnsi="Arial" w:cs="Arial"/>
                <w:b/>
                <w:bCs/>
              </w:rPr>
              <w:t>one-to-many</w:t>
            </w:r>
            <w:r>
              <w:rPr>
                <w:rFonts w:ascii="Arial" w:hAnsi="Arial" w:cs="Arial"/>
              </w:rPr>
              <w:t xml:space="preserve"> (co najmniej 100 serwerów z jednej konsoli).</w:t>
            </w:r>
          </w:p>
          <w:p w:rsidR="00D1174D" w:rsidRDefault="00D1174D">
            <w:pPr>
              <w:numPr>
                <w:ilvl w:val="0"/>
                <w:numId w:val="54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Równoważność</w:t>
            </w:r>
            <w:r>
              <w:rPr>
                <w:rFonts w:ascii="Arial" w:hAnsi="Arial" w:cs="Arial"/>
              </w:rPr>
              <w:t xml:space="preserve"> oznacza zapewnienie funkcji z pkt 2 </w:t>
            </w:r>
            <w:r>
              <w:rPr>
                <w:rFonts w:ascii="Arial" w:hAnsi="Arial" w:cs="Arial"/>
                <w:b/>
                <w:bCs/>
              </w:rPr>
              <w:t>z poziomu centralnej konsoli</w:t>
            </w:r>
            <w:r>
              <w:rPr>
                <w:rFonts w:ascii="Arial" w:hAnsi="Arial" w:cs="Arial"/>
              </w:rPr>
              <w:t xml:space="preserve"> Zamawiającego oraz pełnej obsługi </w:t>
            </w:r>
            <w:r>
              <w:rPr>
                <w:rFonts w:ascii="Arial" w:hAnsi="Arial" w:cs="Arial"/>
                <w:b/>
                <w:bCs/>
              </w:rPr>
              <w:t>DMTF Redfish (DSP0266/DSP0268)</w:t>
            </w:r>
            <w:r>
              <w:rPr>
                <w:rFonts w:ascii="Arial" w:hAnsi="Arial" w:cs="Arial"/>
              </w:rPr>
              <w:t xml:space="preserve"> — potwierdzonej dokumentacją producenta.</w:t>
            </w:r>
          </w:p>
          <w:p w:rsidR="00D1174D" w:rsidRDefault="00D1174D">
            <w:pPr>
              <w:numPr>
                <w:ilvl w:val="0"/>
                <w:numId w:val="54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Wykonawca dostarczy wszelkie wymagane </w:t>
            </w:r>
            <w:r>
              <w:rPr>
                <w:rFonts w:ascii="Arial" w:hAnsi="Arial" w:cs="Arial"/>
                <w:b/>
                <w:bCs/>
              </w:rPr>
              <w:t>wtyczki/connector’y</w:t>
            </w:r>
            <w:r>
              <w:rPr>
                <w:rFonts w:ascii="Arial" w:hAnsi="Arial" w:cs="Arial"/>
              </w:rPr>
              <w:t xml:space="preserve"> i przeprowadzi konfigurację integracji w środowisku Zamawiającego.</w:t>
            </w:r>
          </w:p>
          <w:p w:rsidR="00D1174D" w:rsidRDefault="00D1174D">
            <w:pPr>
              <w:numPr>
                <w:ilvl w:val="0"/>
                <w:numId w:val="54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(Opcjonalnie, jeśli tego oczekujesz) </w:t>
            </w:r>
            <w:r>
              <w:rPr>
                <w:rFonts w:ascii="Arial" w:hAnsi="Arial" w:cs="Arial"/>
                <w:b/>
                <w:bCs/>
              </w:rPr>
              <w:t>Wymagane funkcje z pkt 2 muszą być dostępne bez dodatkowych opłat licencyjnych</w:t>
            </w:r>
            <w:r>
              <w:rPr>
                <w:rFonts w:ascii="Arial" w:hAnsi="Arial" w:cs="Arial"/>
              </w:rPr>
              <w:t xml:space="preserve"> ponad cenę oferty; jeżeli producent wymaga określonych licencji (np. iDRAC Enterprise), Wykonawca dostarcza je w ramach oferty.</w:t>
            </w:r>
          </w:p>
          <w:p w:rsidR="00D1174D" w:rsidRDefault="00D1174D">
            <w:pPr>
              <w:numPr>
                <w:ilvl w:val="0"/>
                <w:numId w:val="54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Test akceptacyjny po dostawie:</w:t>
            </w:r>
            <w:r>
              <w:rPr>
                <w:rFonts w:ascii="Arial" w:hAnsi="Arial" w:cs="Arial"/>
              </w:rPr>
              <w:t xml:space="preserve"> Wykonawca, wspólnie z Zamawiającym, przeprowadzi w OME/iDRAC: wykrycie serwerów, inwentarz HW, uruchomienie zdalnej konsoli i virtual media, odczyt i raport </w:t>
            </w:r>
            <w:r>
              <w:rPr>
                <w:rFonts w:ascii="Arial" w:hAnsi="Arial" w:cs="Arial"/>
                <w:b/>
                <w:bCs/>
              </w:rPr>
              <w:t>power/thermal</w:t>
            </w:r>
            <w:r>
              <w:rPr>
                <w:rFonts w:ascii="Arial" w:hAnsi="Arial" w:cs="Arial"/>
              </w:rPr>
              <w:t xml:space="preserve"> w czasie rzeczywistym, konfigurację profilu firmware oraz uruchomienie polityki </w:t>
            </w:r>
            <w:r>
              <w:rPr>
                <w:rFonts w:ascii="Arial" w:hAnsi="Arial" w:cs="Arial"/>
                <w:b/>
                <w:bCs/>
              </w:rPr>
              <w:t>power-capping</w:t>
            </w:r>
            <w:r>
              <w:rPr>
                <w:rFonts w:ascii="Arial" w:hAnsi="Arial" w:cs="Arial"/>
              </w:rPr>
              <w:t>. Niespełnienie któregokolwiek z punktów skutkuje odmową odbioru do czasu usunięcia niezgodności.</w:t>
            </w:r>
          </w:p>
          <w:p w:rsidR="00D1174D" w:rsidRDefault="00D1174D">
            <w:pPr>
              <w:spacing w:after="0" w:line="271" w:lineRule="auto"/>
              <w:rPr>
                <w:rFonts w:ascii="Arial" w:hAnsi="Arial" w:cs="Arial"/>
              </w:rPr>
            </w:pPr>
          </w:p>
        </w:tc>
      </w:tr>
      <w:tr w:rsidR="00D1174D"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Certyfikaty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3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Serwer musi posiadać deklaracja CE, RoHS,</w:t>
            </w:r>
          </w:p>
          <w:p w:rsidR="00D1174D" w:rsidRDefault="00D1174D">
            <w:pPr>
              <w:pStyle w:val="ListParagraph"/>
              <w:spacing w:after="0" w:line="271" w:lineRule="auto"/>
              <w:contextualSpacing w:val="0"/>
              <w:rPr>
                <w:rFonts w:ascii="Arial" w:hAnsi="Arial" w:cs="Arial"/>
              </w:rPr>
            </w:pPr>
          </w:p>
        </w:tc>
      </w:tr>
      <w:tr w:rsidR="00D1174D">
        <w:trPr>
          <w:trHeight w:val="530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Dokumentacja użytkownika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13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wymaga dokumentacji w języku polskim lub angi</w:t>
            </w:r>
            <w:r>
              <w:rPr>
                <w:rFonts w:ascii="Arial" w:hAnsi="Arial" w:cs="Arial"/>
                <w:i/>
              </w:rPr>
              <w:t>e</w:t>
            </w:r>
            <w:r>
              <w:rPr>
                <w:rFonts w:ascii="Arial" w:hAnsi="Arial" w:cs="Arial"/>
              </w:rPr>
              <w:t>lskim.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D1174D">
        <w:trPr>
          <w:trHeight w:val="230"/>
        </w:trPr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74D" w:rsidRDefault="00D1174D">
            <w:pPr>
              <w:spacing w:after="0" w:line="271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Warunki gwarancji</w:t>
            </w:r>
          </w:p>
        </w:tc>
        <w:tc>
          <w:tcPr>
            <w:tcW w:w="6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Gwarancji producenta lub sprzedawcy na okres min. 36 m-cy.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Nowy Sprzęt 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Możliwość rozszerzenia gwarancji przez producenta do 7 lat.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Zamawiający oczekuje możliwości zgłaszania zdarzeń serwisowych w trybie 24/7/365 następującymi kanałami: telefonicznie, przez Internet oraz z wykorzystaniem aplikacji.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Zamawiający oczekuje rozpoczęcia diagnostyki telefonicznej / internetowej już w momencie dokonania zgłoszenia. Certyfikowany Technik wykonawcy / producenta z właściwym zestawem części do naprawy (potwierdzonym na etapie diagnostyki) ma rozpocząć naprawę w siedzibie zamawiającego najpóźniej w następnym dniu roboczym (NBD) od otrzymania zgłoszenia / zakończenia diagnostyki. Naprawa ma się odbywać w siedzibie zamawiającego, chyba, że zamawiający dla danej naprawy zgodzi się na inną formę.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Zamawiający oczekuje bezpośredniego dostępu do wykwalifikowanej kadry inżynierów technicznych a w przypadku konieczności eskalacji zgłoszenia serwisowego wyznaczonego Kierownika Eskalacji po stronie wykonawcy.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Zamawiający wymaga pojedynczego punktu kontaktu dla całego rozwiązania producenta, w tym także sprzedanego oprogramowania.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Zgłoszenie przyjęte jest potwierdzane przez zespół pomocy technicznej (mail/telefon / aplikacja / portal) przez nadanie unikalnego numeru zgłoszenia pozwalającego na identyfikację zgłoszenia w trakcie realizacji naprawy i po jej zakończeniu.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Zamawiający oczekuje możliwości samodzielnego kwalifikowania poziomu ważności naprawy.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Możliwość sprawdzenia statusu gwarancji poprzez stronę producenta podając unikatowy numer urządzenia oraz pobieranie uaktualnień mikrokodu oraz sterowników nawet w przypadku wygaśnięcia gwarancji serwera.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Zamawiający oczekuje nieodpłatnego udostępnienia narzędzi serwisowych i procesów wsparcia umożliwiających: Wykrywanie usterek sprzętowych z predykcją awarii.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Automatyczną diagnostykę i zdalne otwieranie zgłoszeń serwisowych.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Najpóźniej do obioru wymagane oświadczenia Producenta potwierdzając, że Serwis urządzeń będzie realizowany bezpośrednio przez Producenta i/lub we współpracy z Autoryzowanym Partnerem Serwisowym Producenta.</w:t>
            </w:r>
          </w:p>
          <w:p w:rsidR="00D1174D" w:rsidRDefault="00D1174D">
            <w:pPr>
              <w:spacing w:after="0" w:line="271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rozszerzenia gwarancji o: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Wyznaczonego przez wykonawcę Opiekuna Technicznego Klienta, do którego obowiązków będzie należało:</w:t>
            </w:r>
          </w:p>
          <w:p w:rsidR="00D1174D" w:rsidRDefault="00D1174D">
            <w:pPr>
              <w:pStyle w:val="ListParagraph"/>
              <w:numPr>
                <w:ilvl w:val="1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Monitorowanie zdarzeń w obrębie infrastruktury</w:t>
            </w:r>
          </w:p>
          <w:p w:rsidR="00D1174D" w:rsidRDefault="00D1174D">
            <w:pPr>
              <w:pStyle w:val="ListParagraph"/>
              <w:numPr>
                <w:ilvl w:val="1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Zarządzanie eskalacjami i współpraca z kierownikiem eskalacji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Przygotowywanie kwartalnych zaleceń dotyczące konserwacji infrastruktury sprzętowej (BIOS, firmware, patche)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Zdalne lub na miejscu wdrażanie poprawek - 2x w roku</w:t>
            </w:r>
          </w:p>
          <w:p w:rsidR="00D1174D" w:rsidRDefault="00D1174D">
            <w:pPr>
              <w:pStyle w:val="ListParagraph"/>
              <w:numPr>
                <w:ilvl w:val="0"/>
                <w:numId w:val="8"/>
              </w:numPr>
              <w:spacing w:after="0" w:line="271" w:lineRule="auto"/>
              <w:contextualSpacing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Raportowanie realizacji kontraktów serwisowych i wykorzystania zasobów sprzętowych (na żądanie)</w:t>
            </w:r>
          </w:p>
        </w:tc>
      </w:tr>
    </w:tbl>
    <w:p w:rsidR="00D1174D" w:rsidRDefault="00D1174D">
      <w:pPr>
        <w:pStyle w:val="NoSpacing"/>
        <w:spacing w:line="271" w:lineRule="auto"/>
        <w:rPr>
          <w:rFonts w:ascii="Arial" w:hAnsi="Arial" w:cs="Arial"/>
          <w:b/>
          <w:bCs/>
        </w:rPr>
      </w:pPr>
    </w:p>
    <w:p w:rsidR="00D1174D" w:rsidRDefault="00D1174D">
      <w:pPr>
        <w:pStyle w:val="NoSpacing"/>
        <w:spacing w:line="271" w:lineRule="auto"/>
        <w:ind w:left="1800"/>
        <w:rPr>
          <w:rFonts w:ascii="Arial" w:hAnsi="Arial" w:cs="Arial"/>
          <w:b/>
          <w:bCs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bCs/>
          <w:sz w:val="28"/>
          <w:szCs w:val="28"/>
        </w:rPr>
      </w:pPr>
      <w:bookmarkStart w:id="7" w:name="_Toc221702255"/>
      <w:r>
        <w:rPr>
          <w:rFonts w:ascii="Arial" w:hAnsi="Arial" w:cs="Arial"/>
          <w:b/>
          <w:bCs/>
          <w:sz w:val="28"/>
          <w:szCs w:val="28"/>
        </w:rPr>
        <w:t>Dostawa kluczy sprzętowych do zabezpieczenia logowania do systemu sporządzania kopii zapasowych – 2 szt.</w:t>
      </w:r>
      <w:bookmarkEnd w:id="7"/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Dostawa klucza sprzętowego uwierzytelniania dwuskładnikowego z interfejsem USB-C oraz NFC, obsługującego wieloprotokołowe standardy bezpieczeństwa FIDO2/U2F, wraz z dokumentacją i gwarancją producenta.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Zakres zamówienia:</w:t>
      </w:r>
    </w:p>
    <w:p w:rsidR="00D1174D" w:rsidRDefault="00D1174D">
      <w:pPr>
        <w:pStyle w:val="ListParagraph"/>
        <w:numPr>
          <w:ilvl w:val="0"/>
          <w:numId w:val="4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2 szt. klucza sprzętowego spełniającego wymagania minimalne opisane poniżej.</w:t>
      </w:r>
    </w:p>
    <w:p w:rsidR="00D1174D" w:rsidRDefault="00D1174D">
      <w:pPr>
        <w:pStyle w:val="ListParagraph"/>
        <w:numPr>
          <w:ilvl w:val="0"/>
          <w:numId w:val="4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Dostawa z instrukcją obsługi w języku polskim lub angielskim oraz dokumentacją techniczną.</w:t>
      </w:r>
    </w:p>
    <w:p w:rsidR="00D1174D" w:rsidRDefault="00D1174D">
      <w:pPr>
        <w:pStyle w:val="ListParagraph"/>
        <w:numPr>
          <w:ilvl w:val="0"/>
          <w:numId w:val="4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Gwarancja producenta min. 12 miesięcy.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Minimalne wymagania techniczne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Interfejs komunikacyjny:</w:t>
      </w:r>
    </w:p>
    <w:p w:rsidR="00D1174D" w:rsidRDefault="00D1174D">
      <w:pPr>
        <w:pStyle w:val="ListParagraph"/>
        <w:numPr>
          <w:ilvl w:val="0"/>
          <w:numId w:val="4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Złącze USB-C (USB 3.0 lub nowszy)</w:t>
      </w:r>
    </w:p>
    <w:p w:rsidR="00D1174D" w:rsidRDefault="00D1174D">
      <w:pPr>
        <w:pStyle w:val="ListParagraph"/>
        <w:numPr>
          <w:ilvl w:val="0"/>
          <w:numId w:val="4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Technologia NFC (Near Field Communication) do bezprzewodowego uwierzytelniania z urządzeniami mobilnymi obsługującymi NFC</w:t>
      </w:r>
    </w:p>
    <w:p w:rsidR="00D1174D" w:rsidRDefault="00D1174D">
      <w:pPr>
        <w:pStyle w:val="ListParagraph"/>
        <w:numPr>
          <w:ilvl w:val="0"/>
          <w:numId w:val="4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Plug-and-play działanie bez instalacji dodatkowego oprogramowania.</w:t>
      </w:r>
    </w:p>
    <w:p w:rsidR="00D1174D" w:rsidRDefault="00D1174D">
      <w:pPr>
        <w:pStyle w:val="ListParagraph"/>
        <w:numPr>
          <w:ilvl w:val="0"/>
          <w:numId w:val="4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Kompatybilność z systemami: Windows, macOS, Linux, Chrome OS.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Obsługiwane protokoły uwierzytelniania: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FIDO2 (CTAP1 i CTAP2)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Universal 2nd Factor (U2F)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WebAuth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Yubico OTP (One-Time Password)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OATH-HOTP (Event-based)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OATH-TOTP (Time-based)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Smart Card (PIV-compatible)</w:t>
      </w:r>
    </w:p>
    <w:p w:rsidR="00D1174D" w:rsidRDefault="00D1174D">
      <w:pPr>
        <w:pStyle w:val="ListParagraph"/>
        <w:numPr>
          <w:ilvl w:val="0"/>
          <w:numId w:val="42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OpenPGP.[5][1]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Algorytmy szyfrowania:</w:t>
      </w:r>
    </w:p>
    <w:p w:rsidR="00D1174D" w:rsidRDefault="00D1174D">
      <w:pPr>
        <w:pStyle w:val="ListParagraph"/>
        <w:numPr>
          <w:ilvl w:val="0"/>
          <w:numId w:val="4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RSA 2048, RSA 3072, RSA 4096 (PGP)</w:t>
      </w:r>
    </w:p>
    <w:p w:rsidR="00D1174D" w:rsidRDefault="00D1174D">
      <w:pPr>
        <w:pStyle w:val="ListParagraph"/>
        <w:numPr>
          <w:ilvl w:val="0"/>
          <w:numId w:val="4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ECC P256, ECC P384</w:t>
      </w:r>
    </w:p>
    <w:p w:rsidR="00D1174D" w:rsidRDefault="00D1174D">
      <w:pPr>
        <w:pStyle w:val="ListParagraph"/>
        <w:numPr>
          <w:ilvl w:val="0"/>
          <w:numId w:val="4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ED25519, X25519</w:t>
      </w:r>
    </w:p>
    <w:p w:rsidR="00D1174D" w:rsidRDefault="00D1174D">
      <w:pPr>
        <w:pStyle w:val="ListParagraph"/>
        <w:numPr>
          <w:ilvl w:val="0"/>
          <w:numId w:val="43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Secure Static Passwords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Wymiary i konstrukcja:</w:t>
      </w:r>
    </w:p>
    <w:p w:rsidR="00D1174D" w:rsidRDefault="00D1174D">
      <w:pPr>
        <w:pStyle w:val="ListParagraph"/>
        <w:numPr>
          <w:ilvl w:val="0"/>
          <w:numId w:val="4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Maksymalne wymiary: 47 x 12 x 3,5 mm (format standardowy)</w:t>
      </w:r>
    </w:p>
    <w:p w:rsidR="00D1174D" w:rsidRDefault="00D1174D">
      <w:pPr>
        <w:pStyle w:val="ListParagraph"/>
        <w:numPr>
          <w:ilvl w:val="0"/>
          <w:numId w:val="4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Obudowa odporna na warunki atmosferyczne</w:t>
      </w:r>
    </w:p>
    <w:p w:rsidR="00D1174D" w:rsidRDefault="00D1174D">
      <w:pPr>
        <w:pStyle w:val="ListParagraph"/>
        <w:numPr>
          <w:ilvl w:val="0"/>
          <w:numId w:val="4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Klasa szczelności: min. IP68 (ochrona przed wodą i kurzem)</w:t>
      </w:r>
    </w:p>
    <w:p w:rsidR="00D1174D" w:rsidRDefault="00D1174D">
      <w:pPr>
        <w:pStyle w:val="ListParagraph"/>
        <w:numPr>
          <w:ilvl w:val="0"/>
          <w:numId w:val="4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Materiał obudowy odporny na uszkodzenia mechaniczne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Funkcjonalność: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Uwierzytelnianie przez dotknięcie przycisku na kluczu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Bezprzewodowe uwierzytelnianie przez NFC na smartfonach i tabletach Android/iOS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Kompatybilność z urządzeniami mobilnymi bez konieczności fizycznego podłączenia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uwierzytelniania dotykowego przez NFC (tap-to-authenticate)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Ochrona przed atakami phishingowymi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Brak przechowywania danych osobowych użytkownika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Kryptograficzna ochrona tożsamości</w:t>
      </w:r>
    </w:p>
    <w:p w:rsidR="00D1174D" w:rsidRDefault="00D1174D">
      <w:pPr>
        <w:pStyle w:val="ListParagraph"/>
        <w:numPr>
          <w:ilvl w:val="0"/>
          <w:numId w:val="4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Wsparcie dla uwierzytelniania wieloskładnikowego (MFA)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Kompatybilność z usługami:</w:t>
      </w:r>
    </w:p>
    <w:p w:rsidR="00D1174D" w:rsidRDefault="00D1174D">
      <w:pPr>
        <w:pStyle w:val="ListParagraph"/>
        <w:numPr>
          <w:ilvl w:val="0"/>
          <w:numId w:val="4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popularnych usług internetowych obsługujących standardy FIDO2/U2F</w:t>
      </w:r>
    </w:p>
    <w:p w:rsidR="00D1174D" w:rsidRDefault="00D1174D">
      <w:pPr>
        <w:pStyle w:val="ListParagraph"/>
        <w:numPr>
          <w:ilvl w:val="0"/>
          <w:numId w:val="4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Kompatybilność z systemami zarządzania tożsamością (IAM)</w:t>
      </w:r>
    </w:p>
    <w:p w:rsidR="00D1174D" w:rsidRDefault="00D1174D">
      <w:pPr>
        <w:pStyle w:val="ListParagraph"/>
        <w:numPr>
          <w:ilvl w:val="0"/>
          <w:numId w:val="4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Wsparcie dla usług chmurowych i korporacyjnych</w:t>
      </w:r>
    </w:p>
    <w:p w:rsidR="00D1174D" w:rsidRDefault="00D1174D">
      <w:pPr>
        <w:pStyle w:val="ListParagraph"/>
        <w:numPr>
          <w:ilvl w:val="0"/>
          <w:numId w:val="4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integracji z menedżerami haseł obsługującymi klucze sprzętowe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Certyfikacje i standardy:</w:t>
      </w:r>
    </w:p>
    <w:p w:rsidR="00D1174D" w:rsidRDefault="00D1174D">
      <w:pPr>
        <w:pStyle w:val="ListParagraph"/>
        <w:numPr>
          <w:ilvl w:val="0"/>
          <w:numId w:val="4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Certyfikacja FIDO Alliance</w:t>
      </w:r>
    </w:p>
    <w:p w:rsidR="00D1174D" w:rsidRDefault="00D1174D">
      <w:pPr>
        <w:pStyle w:val="ListParagraph"/>
        <w:numPr>
          <w:ilvl w:val="0"/>
          <w:numId w:val="4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Zgodność ze standardami FIPS 140-2 (poziom 1 lub wyższy)</w:t>
      </w:r>
    </w:p>
    <w:p w:rsidR="00D1174D" w:rsidRDefault="00D1174D">
      <w:pPr>
        <w:pStyle w:val="ListParagraph"/>
        <w:numPr>
          <w:ilvl w:val="0"/>
          <w:numId w:val="4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Certyfikaty bezpieczeństwa CE dla rynku europejskiego</w:t>
      </w:r>
    </w:p>
    <w:p w:rsidR="00D1174D" w:rsidRDefault="00D1174D">
      <w:pPr>
        <w:pStyle w:val="ListParagraph"/>
        <w:numPr>
          <w:ilvl w:val="0"/>
          <w:numId w:val="47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Zgodność z dyrektywą RoHS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Funkcje zaawansowane:</w:t>
      </w:r>
    </w:p>
    <w:p w:rsidR="00D1174D" w:rsidRDefault="00D1174D">
      <w:pPr>
        <w:pStyle w:val="ListParagraph"/>
        <w:numPr>
          <w:ilvl w:val="0"/>
          <w:numId w:val="4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przechowywania certyfikatów i kluczy prywatnych</w:t>
      </w:r>
    </w:p>
    <w:p w:rsidR="00D1174D" w:rsidRDefault="00D1174D">
      <w:pPr>
        <w:pStyle w:val="ListParagraph"/>
        <w:numPr>
          <w:ilvl w:val="0"/>
          <w:numId w:val="4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Obsługa szyfrowania poczty e-mail</w:t>
      </w:r>
    </w:p>
    <w:p w:rsidR="00D1174D" w:rsidRDefault="00D1174D">
      <w:pPr>
        <w:pStyle w:val="ListParagraph"/>
        <w:numPr>
          <w:ilvl w:val="0"/>
          <w:numId w:val="4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Uwierzytelnianie SSH</w:t>
      </w:r>
    </w:p>
    <w:p w:rsidR="00D1174D" w:rsidRDefault="00D1174D">
      <w:pPr>
        <w:pStyle w:val="ListParagraph"/>
        <w:numPr>
          <w:ilvl w:val="0"/>
          <w:numId w:val="4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Funkcjonalność karty inteligentnej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Bezpieczeństwo:</w:t>
      </w:r>
    </w:p>
    <w:p w:rsidR="00D1174D" w:rsidRDefault="00D1174D">
      <w:pPr>
        <w:pStyle w:val="ListParagraph"/>
        <w:numPr>
          <w:ilvl w:val="0"/>
          <w:numId w:val="4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Odporność na ataki malware</w:t>
      </w:r>
    </w:p>
    <w:p w:rsidR="00D1174D" w:rsidRDefault="00D1174D">
      <w:pPr>
        <w:pStyle w:val="ListParagraph"/>
        <w:numPr>
          <w:ilvl w:val="0"/>
          <w:numId w:val="4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Zabezpieczenie przed klonowaniem</w:t>
      </w:r>
    </w:p>
    <w:p w:rsidR="00D1174D" w:rsidRDefault="00D1174D">
      <w:pPr>
        <w:pStyle w:val="ListParagraph"/>
        <w:numPr>
          <w:ilvl w:val="0"/>
          <w:numId w:val="4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Brak możliwości zdalnego dostępu do klucza</w:t>
      </w:r>
    </w:p>
    <w:p w:rsidR="00D1174D" w:rsidRDefault="00D1174D">
      <w:pPr>
        <w:pStyle w:val="ListParagraph"/>
        <w:numPr>
          <w:ilvl w:val="0"/>
          <w:numId w:val="49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Ochrona przed atakami man-in-the-middle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Uwagi wdrożeniowe: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Klucz będzie wykorzystywany do zabezpieczenia dostępu do systemów informatycznych organizacji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Wymagana jest możliwość konfiguracji i zarządzania funkcjami NFC w środowisku korporacyjnym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Klucz musi zachowywać funkcjonalność NFC przy długotrwałym użytkowaniu.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Wymagana jest możliwość masowego wdrażania i zarządzania wieloma kluczami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Zamawiający przewiduje integrację z istniejącymi systemami Active Directory lub równoważnymi</w:t>
      </w:r>
    </w:p>
    <w:p w:rsidR="00D1174D" w:rsidRDefault="00D1174D">
      <w:pPr>
        <w:pStyle w:val="ListParagraph"/>
        <w:numPr>
          <w:ilvl w:val="0"/>
          <w:numId w:val="50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Klucz musi pozostać funkcjonalny przy stałym podłączeniu do portu USB-C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Wymagania serwisowe:</w:t>
      </w:r>
    </w:p>
    <w:p w:rsidR="00D1174D" w:rsidRDefault="00D1174D">
      <w:pPr>
        <w:pStyle w:val="ListParagraph"/>
        <w:numPr>
          <w:ilvl w:val="0"/>
          <w:numId w:val="5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Dostępność wsparcia technicznego przez okres gwarancji</w:t>
      </w:r>
    </w:p>
    <w:p w:rsidR="00D1174D" w:rsidRDefault="00D1174D">
      <w:pPr>
        <w:pStyle w:val="ListParagraph"/>
        <w:numPr>
          <w:ilvl w:val="0"/>
          <w:numId w:val="5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wymiany wadliwych egzemplarzy</w:t>
      </w:r>
    </w:p>
    <w:p w:rsidR="00D1174D" w:rsidRDefault="00D1174D">
      <w:pPr>
        <w:pStyle w:val="ListParagraph"/>
        <w:numPr>
          <w:ilvl w:val="0"/>
          <w:numId w:val="51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Dokumentacja techniczna i instrukcje integracji w języku polskim lub angielskim</w:t>
      </w:r>
    </w:p>
    <w:p w:rsidR="00D1174D" w:rsidRDefault="00D1174D">
      <w:pPr>
        <w:pStyle w:val="NoSpacing"/>
        <w:spacing w:line="271" w:lineRule="auto"/>
        <w:ind w:left="1800"/>
        <w:rPr>
          <w:rFonts w:ascii="Arial" w:hAnsi="Arial" w:cs="Arial"/>
          <w:b/>
          <w:bCs/>
        </w:rPr>
      </w:pPr>
    </w:p>
    <w:p w:rsidR="00D1174D" w:rsidRDefault="00D1174D">
      <w:pPr>
        <w:pStyle w:val="NoSpacing"/>
        <w:spacing w:line="271" w:lineRule="auto"/>
        <w:ind w:left="1800"/>
        <w:rPr>
          <w:rFonts w:ascii="Arial" w:hAnsi="Arial" w:cs="Arial"/>
          <w:b/>
          <w:bCs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bCs/>
          <w:sz w:val="28"/>
          <w:szCs w:val="28"/>
        </w:rPr>
      </w:pPr>
      <w:bookmarkStart w:id="8" w:name="_Toc221702256"/>
      <w:r>
        <w:rPr>
          <w:rFonts w:ascii="Arial" w:hAnsi="Arial" w:cs="Arial"/>
          <w:b/>
          <w:bCs/>
          <w:sz w:val="28"/>
          <w:szCs w:val="28"/>
        </w:rPr>
        <w:t>Zakup UPS na potrzeby klastra oraz systemu do sporządzania kopii zapasowych – 1 szt.</w:t>
      </w:r>
      <w:bookmarkEnd w:id="8"/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Przedmiotem zamówienia jest dostawa, instalacja oraz przeprowadzenie instruktażu stanowiskowego zasilacza bezprzerwowego.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Wymagania techniczne: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Urządzenie dedykowane do zastosowań serwerowych,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Moc wyjściowa pozorna: 3000 VA,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Moc wyjściowa czynna: 3000 W,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Współczynnik mocy PF: 1,0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Topologia: </w:t>
      </w:r>
    </w:p>
    <w:p w:rsidR="00D1174D" w:rsidRDefault="00D1174D">
      <w:pPr>
        <w:pStyle w:val="ListParagraph"/>
        <w:numPr>
          <w:ilvl w:val="0"/>
          <w:numId w:val="1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Podwójna konwersja online (VFI-SS-111) z systemem PFC (korekcja współczynnika mocy)</w:t>
      </w:r>
    </w:p>
    <w:p w:rsidR="00D1174D" w:rsidRDefault="00D1174D">
      <w:pPr>
        <w:pStyle w:val="ListParagraph"/>
        <w:numPr>
          <w:ilvl w:val="0"/>
          <w:numId w:val="1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Sprawność min. 90% w trybie online</w:t>
      </w:r>
    </w:p>
    <w:p w:rsidR="00D1174D" w:rsidRDefault="00D1174D">
      <w:pPr>
        <w:pStyle w:val="ListParagraph"/>
        <w:numPr>
          <w:ilvl w:val="0"/>
          <w:numId w:val="1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Sinusoidalny kształt fali wyjściowej</w:t>
      </w:r>
    </w:p>
    <w:p w:rsidR="00D1174D" w:rsidRDefault="00D1174D">
      <w:pPr>
        <w:pStyle w:val="ListParagraph"/>
        <w:numPr>
          <w:ilvl w:val="0"/>
          <w:numId w:val="18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Zniekształcenia napięcia wyjściowego max. 3% przy obciążeniu liniowym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Liczba faz (wejście/wyjście): 1/1 (230V),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Liczba akumulatorów: min. 6,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Pojemność akumulatora: 9 Ah,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Czas podtrzymania przy 100% obciążenia: min. 3,0 min,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Typ obudowy: Rack 19’’ (2U),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Stopień ochrony: IP20 lub IP21,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Zabezpieczenia: przeciwzwarciowe, EPO (Emergency Power Off), ochrona przed przepięciami,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wydłużenia czasu podtrzymania przez podłączenie zewnętrznych modułów bateryjnych (min. 4 sztuk),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Możliwość wymiany akumulatorów w trakcie pracy,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Predykcja czasu podtrzymania – wyświetlanie na panelu oraz w dedykowanym oprogramowaniu,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Zimny start,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Interfejsy: karta do zarządzania Web SNMP Management Card + wyświetlacz LCD,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Dostępne bezpłatne/dostawa w ramach zadania - oprogramowania monitorująco-zarządzającego</w:t>
      </w:r>
    </w:p>
    <w:p w:rsidR="00D1174D" w:rsidRDefault="00D1174D">
      <w:pPr>
        <w:pStyle w:val="ListParagraph"/>
        <w:numPr>
          <w:ilvl w:val="0"/>
          <w:numId w:val="14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Gwarancja: min. 36 miesięcy na urządzenie i 24 miesiące na baterię</w:t>
      </w:r>
    </w:p>
    <w:p w:rsidR="00D1174D" w:rsidRDefault="00D1174D">
      <w:p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Zakres zamówienia:</w:t>
      </w:r>
    </w:p>
    <w:p w:rsidR="00D1174D" w:rsidRDefault="00D1174D">
      <w:pPr>
        <w:pStyle w:val="ListParagraph"/>
        <w:numPr>
          <w:ilvl w:val="0"/>
          <w:numId w:val="1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Dostawa fabrycznie nowego zasilacza UPS wraz z akcesoriami (kable, szyny montażowe rack, instrukcja, karta gwarancyjna),</w:t>
      </w:r>
    </w:p>
    <w:p w:rsidR="00D1174D" w:rsidRDefault="00D1174D">
      <w:pPr>
        <w:pStyle w:val="ListParagraph"/>
        <w:numPr>
          <w:ilvl w:val="0"/>
          <w:numId w:val="1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Instalacja urządzenia w miejscu wskazanym przez Zamawiającego, w konfiguracji Rack</w:t>
      </w:r>
    </w:p>
    <w:p w:rsidR="00D1174D" w:rsidRDefault="00D1174D">
      <w:pPr>
        <w:pStyle w:val="ListParagraph"/>
        <w:numPr>
          <w:ilvl w:val="0"/>
          <w:numId w:val="1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Podłączenie do istniejącej infrastruktury elektrycznej zgodnie z instrukcją producenta,</w:t>
      </w:r>
    </w:p>
    <w:p w:rsidR="00D1174D" w:rsidRDefault="00D1174D">
      <w:pPr>
        <w:pStyle w:val="ListParagraph"/>
        <w:numPr>
          <w:ilvl w:val="0"/>
          <w:numId w:val="1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Konfiguracja podstawowa UPS, uruchomienie oraz test działania (w tym test czasu podtrzymania),</w:t>
      </w:r>
    </w:p>
    <w:p w:rsidR="00D1174D" w:rsidRDefault="00D1174D">
      <w:pPr>
        <w:pStyle w:val="ListParagraph"/>
        <w:numPr>
          <w:ilvl w:val="0"/>
          <w:numId w:val="1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Przeprowadzenie instruktażu stanowiskowego dla wskazanych pracowników Zamawiającego w zakresie obsługi, eksploatacji, podstawowej diagnostyki oraz zasad bezpieczeństwa użytkowania UPS,</w:t>
      </w:r>
    </w:p>
    <w:p w:rsidR="00D1174D" w:rsidRDefault="00D1174D">
      <w:pPr>
        <w:pStyle w:val="ListParagraph"/>
        <w:numPr>
          <w:ilvl w:val="0"/>
          <w:numId w:val="15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Przekazanie kompletnej dokumentacji: instrukcja obsługi w języku polskim, karta gwarancyjna.</w:t>
      </w:r>
    </w:p>
    <w:p w:rsidR="00D1174D" w:rsidRDefault="00D1174D">
      <w:pPr>
        <w:pStyle w:val="NoSpacing"/>
        <w:spacing w:line="271" w:lineRule="auto"/>
        <w:rPr>
          <w:rFonts w:ascii="Arial" w:hAnsi="Arial" w:cs="Arial"/>
          <w:b/>
          <w:bCs/>
          <w:sz w:val="28"/>
          <w:szCs w:val="28"/>
        </w:rPr>
      </w:pPr>
    </w:p>
    <w:p w:rsidR="00D1174D" w:rsidRDefault="00D1174D" w:rsidP="00F067D7">
      <w:pPr>
        <w:pStyle w:val="Heading1"/>
        <w:numPr>
          <w:ilvl w:val="0"/>
          <w:numId w:val="4"/>
        </w:numPr>
        <w:spacing w:before="0" w:after="0" w:line="271" w:lineRule="auto"/>
        <w:ind w:left="284"/>
        <w:rPr>
          <w:rFonts w:ascii="Arial" w:hAnsi="Arial" w:cs="Arial"/>
          <w:b/>
          <w:bCs/>
          <w:sz w:val="28"/>
          <w:szCs w:val="28"/>
        </w:rPr>
      </w:pPr>
      <w:bookmarkStart w:id="9" w:name="_Toc220781505"/>
      <w:bookmarkStart w:id="10" w:name="_Toc221702257"/>
      <w:r>
        <w:rPr>
          <w:rFonts w:ascii="Arial" w:hAnsi="Arial" w:cs="Arial"/>
          <w:b/>
          <w:bCs/>
          <w:sz w:val="28"/>
          <w:szCs w:val="28"/>
        </w:rPr>
        <w:t>Zapisy uzupełniające</w:t>
      </w:r>
      <w:bookmarkStart w:id="11" w:name="_Hlk113626721"/>
      <w:bookmarkEnd w:id="9"/>
      <w:bookmarkEnd w:id="10"/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Przedmiotem zamówienia jest dostawa wraz z **kompleksowym montażem fizycznym**, uruchomieniem i konfiguracją sprzętu w infrastrukturze Zamawiającego. Zamawiający nie dopuszcza realizacji zamówienia polegającej wyłącznie na dostarczeniu urządzeń (tzw. "box-moving")</w:t>
      </w:r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Przez montaż fizyczny Zamawiający rozumie: rozpakowanie urządzeń, montaż szyn w szafie RACK, osadzenie serwerów, organizację okablowania (zasilającego i logicznego) wewnątrz szafy zgodnie ze sztuką oraz uporządkowanie miejsca pracy (utylizacja opakowań). Jeżeli w celu instalacji konieczna będzie reorganizacja elementów już umieszczonych w szafach, Wykonawca jest zobowiązany do jej wykonania we własnym zakresie w cenie oferty.</w:t>
      </w:r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 przygotowania optymalnego projektu prac oraz harmonogramu planowanych prac w zakresie instalacji i wdrożeń, a także przedstawienie obu dokumentów do akceptacji Zamawiającemu na minimum 5 dni roboczych przed rozpoczęciem prac. </w:t>
      </w:r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Wykonawca musi uwzględnić wszelkie koszty związane z logistyką, dojazdem personelu technicznego, noclegami oraz pracami instalacyjnymi. Zamawiający zaleca dokonanie wizji lokalnej. **Rezygnacja z wizji lokalnej przez Wykonawcę nie zwalnia go z odpowiedzialności za ewentualne trudności montażowe (np. brak miejsca w szafie, konieczność wymiany listew zasilających, nietypowe szyny montażowe). Wszelkie dodatkowe elementy niezbędne do prawidłowego montażu w istniejącej szafie, których brak wyniknął z nieznajomości infrastruktury Zamawiającego, Wykonawca ma obowiązek dostarczyć na własny koszt w terminie nie dłuższym niż 2 dni robocze. Zamawiający udostępni szczegółowe informacje o środowisku teleinformatycznym po podpisaniu umowy projektowej i umowy o poufności. </w:t>
      </w:r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ma prawo do wprowadzania zmian i wytycznych do wskazanych powyżej dokumentów, niezaakceptowanie ich przez Wykonawcę w ciągu 3 dni stanowi przesłankę do rozwiązania umowy. </w:t>
      </w:r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 czasie prac instalacyjnych musi być zapewniona ciągłość działania Zamawiającego. Przerwy serwisowe ustalane będą na bieżąco z personelem informatycznym Zamawiającego.</w:t>
      </w:r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zobowiązany do </w:t>
      </w:r>
      <w:bookmarkEnd w:id="11"/>
      <w:r>
        <w:rPr>
          <w:rFonts w:ascii="Arial" w:hAnsi="Arial" w:cs="Arial"/>
        </w:rPr>
        <w:t>wykonania dokumentacji powykonawczej zawierającej szczegółowy opis i konfigurację całego systemu, sporządzonej w języku polskim. Wykonawca przekaże dokumentację w wersji papierowej oraz na informatycznym nośniku danych w formacie plików edytowalnych.</w:t>
      </w:r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W celu legalizacji posiadanych i użytkowanych przez Zamawiającego licencji oprogramowania systemowego w opisie przedmiotu zamówienia wskazano znaki towarowe firmy Microsoft jako wzorce funkcjonalną – jakościowe przedmiotu zamówienia. Oznacza to tym samym, że Zamawiający dopuszcza złożenie oferty na oprogramowanie o parametrach funkcjonalnych i jakościowych tożsamych z parametrami oprogramowania określonego we wzorcu. Wykazanie równoważności złożonej oferty leży po stronie Wykonawcy i powinno zostać udokumentowane w możliwie najbardziej obiektywny sposób. W przypadku zaoferowania przez Wykonawcę oprogramowania innego niż wskazanego w przedmiocie zamówienia – oświadczenie tego Wykonawcy zostanie przesłane do producenta danego oprogramowania, celem jego weryfikacji. Dodatkowo w przypadku zaoferowania przez Wykonawcę rozwiązania równoważnego, Wykonawca jest zobowiązany do pokrycia wszelkich możliwych kosztów, wymaganych w czasie wdrożenia oferowanego rozwiązania, w szczególności związanych z dostosowaniem infrastruktury informatycznej, oprogramowania nią zarządzającego, systemowego i narzędziowego (licencje, wdrożenie), poziomu serwisu gwarancyjnego oraz kosztów certyfikowanych szkoleń dla administratorów i użytkowników oferowanego rozwiązania.</w:t>
      </w:r>
    </w:p>
    <w:p w:rsidR="00D1174D" w:rsidRDefault="00D1174D">
      <w:pPr>
        <w:pStyle w:val="ListParagraph"/>
        <w:numPr>
          <w:ilvl w:val="0"/>
          <w:numId w:val="56"/>
        </w:numPr>
        <w:spacing w:after="0" w:line="271" w:lineRule="auto"/>
        <w:rPr>
          <w:rFonts w:ascii="Arial" w:hAnsi="Arial" w:cs="Arial"/>
        </w:rPr>
      </w:pPr>
      <w:r>
        <w:rPr>
          <w:rFonts w:ascii="Arial" w:hAnsi="Arial" w:cs="Arial"/>
        </w:rPr>
        <w:t>Gwarancja Wykonawcy, o ile wymagania szczegółowe nie specyfikują inaczej, na dostarczony sprzęt oraz wykonane usługi, musi być udzielona na min. 36 miesięcy. Zamawiający oczekuje realizacji uprawnień gwarancyjnych na następujących warunkach:</w:t>
      </w:r>
    </w:p>
    <w:p w:rsidR="00D1174D" w:rsidRDefault="00D1174D" w:rsidP="00F067D7">
      <w:pPr>
        <w:pStyle w:val="ListParagraph"/>
        <w:numPr>
          <w:ilvl w:val="0"/>
          <w:numId w:val="3"/>
        </w:numPr>
        <w:spacing w:after="0" w:line="271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Gwarancja, w miarę możliwości, winna być realizowana w siedzibie Zamawiającego.</w:t>
      </w:r>
    </w:p>
    <w:p w:rsidR="00D1174D" w:rsidRDefault="00D1174D" w:rsidP="00F067D7">
      <w:pPr>
        <w:pStyle w:val="ListParagraph"/>
        <w:numPr>
          <w:ilvl w:val="0"/>
          <w:numId w:val="3"/>
        </w:numPr>
        <w:spacing w:after="0" w:line="271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Czas reakcji na zgłoszony problem (rozumiany, jako podjęcie działań diagnostycznych i kontakt ze zgłaszającym) nie może przekroczyć jednego dnia roboczego.</w:t>
      </w:r>
    </w:p>
    <w:p w:rsidR="00D1174D" w:rsidRDefault="00D1174D" w:rsidP="00F067D7">
      <w:pPr>
        <w:pStyle w:val="ListParagraph"/>
        <w:numPr>
          <w:ilvl w:val="0"/>
          <w:numId w:val="3"/>
        </w:numPr>
        <w:spacing w:after="0" w:line="271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Usunięcie usterki ma zostać wykonane do 21 dni roboczych od momentu zgłoszenia usterki.</w:t>
      </w:r>
    </w:p>
    <w:p w:rsidR="00D1174D" w:rsidRDefault="00D1174D" w:rsidP="00F067D7">
      <w:pPr>
        <w:pStyle w:val="ListParagraph"/>
        <w:numPr>
          <w:ilvl w:val="0"/>
          <w:numId w:val="3"/>
        </w:numPr>
        <w:spacing w:after="0" w:line="271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Wykonawca ma obowiązek przyjmowania zgłoszeń serwisowych przez telefon (w godzinach pracy Zamawiającego) lub drogą elektroniczną (e-mail, formularz WWW itp.), przez całą dobę.</w:t>
      </w:r>
    </w:p>
    <w:p w:rsidR="00D1174D" w:rsidRDefault="00D1174D" w:rsidP="00F067D7">
      <w:pPr>
        <w:pStyle w:val="ListParagraph"/>
        <w:numPr>
          <w:ilvl w:val="0"/>
          <w:numId w:val="3"/>
        </w:numPr>
        <w:spacing w:after="0" w:line="271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Wykonawca ma udostępnić pojedynczy punkt przyjmowania zgłoszeń dla dostarczanych rozwiązań.</w:t>
      </w:r>
    </w:p>
    <w:p w:rsidR="00D1174D" w:rsidRDefault="00D1174D" w:rsidP="00F067D7">
      <w:pPr>
        <w:pStyle w:val="ListParagraph"/>
        <w:numPr>
          <w:ilvl w:val="0"/>
          <w:numId w:val="3"/>
        </w:numPr>
        <w:spacing w:after="0" w:line="271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Zgłaszanie i obsługa zdarzeń musi być realizowana za pomocą systemu helpdesk z rozliczeniem zadań. Wykonawca musi posiadać wdrożony tego typu system wsparcia serwisowego.</w:t>
      </w:r>
    </w:p>
    <w:p w:rsidR="00D1174D" w:rsidRDefault="00D1174D" w:rsidP="00F067D7">
      <w:pPr>
        <w:pStyle w:val="ListParagraph"/>
        <w:numPr>
          <w:ilvl w:val="0"/>
          <w:numId w:val="3"/>
        </w:numPr>
        <w:spacing w:after="0" w:line="271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W przypadku sprzętu, dla którego jest wymagany dłuższy czas na naprawę, Zamawiający dopuszcza podstawienie na czas naprawy sprzętu o nie gorszych parametrach funkcjonalnych.</w:t>
      </w:r>
    </w:p>
    <w:p w:rsidR="00D1174D" w:rsidRDefault="00D1174D" w:rsidP="00F067D7">
      <w:pPr>
        <w:pStyle w:val="ListParagraph"/>
        <w:numPr>
          <w:ilvl w:val="0"/>
          <w:numId w:val="3"/>
        </w:numPr>
        <w:spacing w:after="0" w:line="271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Wykonawca ma obowiązek przekazać Zamawiającemu dokumenty sporządzone w języku polskim, poświadczające zakres oraz okres obowiązywania gwarancji.</w:t>
      </w:r>
    </w:p>
    <w:p w:rsidR="00D1174D" w:rsidRDefault="00D1174D">
      <w:pPr>
        <w:pStyle w:val="ListParagraph"/>
        <w:spacing w:after="0" w:line="271" w:lineRule="auto"/>
        <w:ind w:left="709"/>
        <w:rPr>
          <w:rFonts w:ascii="Arial" w:hAnsi="Arial" w:cs="Arial"/>
        </w:rPr>
      </w:pPr>
      <w:bookmarkStart w:id="12" w:name="_Hlk216288070"/>
      <w:r>
        <w:rPr>
          <w:rFonts w:ascii="Arial" w:hAnsi="Arial" w:cs="Arial"/>
        </w:rPr>
        <w:t>UWAGA! Powyższe zapisy w zakresie gwarancji Wykonawcy obowiązują jedynie w przypadku braku szczegółowych zapisów w niniejszym opisie przedmiotu zamówienia.</w:t>
      </w:r>
      <w:bookmarkStart w:id="13" w:name="_Hlk113626939"/>
      <w:bookmarkEnd w:id="12"/>
      <w:bookmarkEnd w:id="13"/>
    </w:p>
    <w:sectPr w:rsidR="00D1174D" w:rsidSect="008325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74D" w:rsidRDefault="00D1174D" w:rsidP="0083257D">
      <w:pPr>
        <w:spacing w:after="0" w:line="240" w:lineRule="auto"/>
      </w:pPr>
      <w:r>
        <w:separator/>
      </w:r>
    </w:p>
  </w:endnote>
  <w:endnote w:type="continuationSeparator" w:id="0">
    <w:p w:rsidR="00D1174D" w:rsidRDefault="00D1174D" w:rsidP="00832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40502020204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74D" w:rsidRDefault="00D1174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74D" w:rsidRDefault="00D1174D">
    <w:pPr>
      <w:pStyle w:val="Footer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  <w:noProof/>
      </w:rPr>
      <w:t>24</w:t>
    </w:r>
    <w:r>
      <w:rPr>
        <w:b/>
        <w:bCs/>
      </w:rPr>
      <w:fldChar w:fldCharType="end"/>
    </w:r>
  </w:p>
  <w:p w:rsidR="00D1174D" w:rsidRDefault="00D1174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74D" w:rsidRDefault="00D1174D">
    <w:pPr>
      <w:pStyle w:val="Footer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25</w:t>
    </w:r>
    <w:r>
      <w:rPr>
        <w:b/>
        <w:bCs/>
      </w:rPr>
      <w:fldChar w:fldCharType="end"/>
    </w:r>
  </w:p>
  <w:p w:rsidR="00D1174D" w:rsidRDefault="00D117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74D" w:rsidRDefault="00D1174D" w:rsidP="0083257D">
      <w:pPr>
        <w:spacing w:after="0" w:line="240" w:lineRule="auto"/>
      </w:pPr>
      <w:r>
        <w:separator/>
      </w:r>
    </w:p>
  </w:footnote>
  <w:footnote w:type="continuationSeparator" w:id="0">
    <w:p w:rsidR="00D1174D" w:rsidRDefault="00D1174D" w:rsidP="00832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74D" w:rsidRDefault="00D1174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74D" w:rsidRDefault="00D117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2049" type="#_x0000_t75" style="position:absolute;margin-left:.05pt;margin-top:0;width:451.35pt;height:46.35pt;z-index:251660288;mso-wrap-style:none;mso-position-vertical:top;v-text-anchor:middle" o:allowincell="f" strokecolor="#3465a4">
          <v:stroke joinstyle="round"/>
          <v:imagedata r:id="rId1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74D" w:rsidRDefault="00D1174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.05pt;margin-top:0;width:451.35pt;height:46.35pt;z-index:251662336;mso-wrap-style:none;mso-position-vertical:top;v-text-anchor:middle" o:allowincell="f" strokecolor="#3465a4">
          <v:stroke joinstyle="round"/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2A37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4A762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13F8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F61DB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E01E7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74392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6F00F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1D501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6C418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B335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DA717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E10BE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28AA479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BA2D5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ED2E0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90140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F821F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33B1598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61789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D6637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3019C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7D3A7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AA66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B80C0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6312E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70362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2807D4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48A1EFB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0"/>
        </w:tabs>
        <w:ind w:left="41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>
    <w:nsid w:val="471A7D8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292E3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0F043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9D12D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F2468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52297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7F068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A3F6D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EF1FA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DA30B8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C2531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212F6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A69111A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0"/>
        </w:tabs>
        <w:ind w:left="19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1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3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0" w:hanging="180"/>
      </w:pPr>
      <w:rPr>
        <w:rFonts w:cs="Times New Roman"/>
      </w:rPr>
    </w:lvl>
  </w:abstractNum>
  <w:abstractNum w:abstractNumId="41">
    <w:nsid w:val="6AA6315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upperRoman"/>
      <w:lvlText w:val="%2&gt;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D2669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1E12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610083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60610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802279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D44F8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231FB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D197C1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  <w:rPr>
        <w:rFonts w:cs="Times New Roman"/>
      </w:rPr>
    </w:lvl>
  </w:abstractNum>
  <w:abstractNum w:abstractNumId="50">
    <w:nsid w:val="7D3530A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D73687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DCE13F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F146DF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hint="default"/>
      </w:rPr>
    </w:lvl>
  </w:abstractNum>
  <w:abstractNum w:abstractNumId="54">
    <w:nsid w:val="7F7B553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40"/>
  </w:num>
  <w:num w:numId="4">
    <w:abstractNumId w:val="27"/>
  </w:num>
  <w:num w:numId="5">
    <w:abstractNumId w:val="23"/>
  </w:num>
  <w:num w:numId="6">
    <w:abstractNumId w:val="2"/>
  </w:num>
  <w:num w:numId="7">
    <w:abstractNumId w:val="51"/>
  </w:num>
  <w:num w:numId="8">
    <w:abstractNumId w:val="17"/>
  </w:num>
  <w:num w:numId="9">
    <w:abstractNumId w:val="44"/>
  </w:num>
  <w:num w:numId="10">
    <w:abstractNumId w:val="3"/>
  </w:num>
  <w:num w:numId="11">
    <w:abstractNumId w:val="22"/>
  </w:num>
  <w:num w:numId="12">
    <w:abstractNumId w:val="24"/>
  </w:num>
  <w:num w:numId="13">
    <w:abstractNumId w:val="1"/>
  </w:num>
  <w:num w:numId="14">
    <w:abstractNumId w:val="11"/>
  </w:num>
  <w:num w:numId="15">
    <w:abstractNumId w:val="16"/>
  </w:num>
  <w:num w:numId="16">
    <w:abstractNumId w:val="4"/>
  </w:num>
  <w:num w:numId="17">
    <w:abstractNumId w:val="52"/>
  </w:num>
  <w:num w:numId="18">
    <w:abstractNumId w:val="53"/>
  </w:num>
  <w:num w:numId="19">
    <w:abstractNumId w:val="38"/>
  </w:num>
  <w:num w:numId="20">
    <w:abstractNumId w:val="15"/>
  </w:num>
  <w:num w:numId="21">
    <w:abstractNumId w:val="21"/>
  </w:num>
  <w:num w:numId="22">
    <w:abstractNumId w:val="43"/>
  </w:num>
  <w:num w:numId="23">
    <w:abstractNumId w:val="8"/>
  </w:num>
  <w:num w:numId="24">
    <w:abstractNumId w:val="12"/>
  </w:num>
  <w:num w:numId="25">
    <w:abstractNumId w:val="20"/>
  </w:num>
  <w:num w:numId="26">
    <w:abstractNumId w:val="36"/>
  </w:num>
  <w:num w:numId="27">
    <w:abstractNumId w:val="34"/>
  </w:num>
  <w:num w:numId="28">
    <w:abstractNumId w:val="48"/>
  </w:num>
  <w:num w:numId="29">
    <w:abstractNumId w:val="5"/>
  </w:num>
  <w:num w:numId="30">
    <w:abstractNumId w:val="32"/>
  </w:num>
  <w:num w:numId="31">
    <w:abstractNumId w:val="42"/>
  </w:num>
  <w:num w:numId="32">
    <w:abstractNumId w:val="9"/>
  </w:num>
  <w:num w:numId="33">
    <w:abstractNumId w:val="7"/>
  </w:num>
  <w:num w:numId="34">
    <w:abstractNumId w:val="6"/>
  </w:num>
  <w:num w:numId="35">
    <w:abstractNumId w:val="45"/>
  </w:num>
  <w:num w:numId="36">
    <w:abstractNumId w:val="37"/>
  </w:num>
  <w:num w:numId="37">
    <w:abstractNumId w:val="25"/>
  </w:num>
  <w:num w:numId="38">
    <w:abstractNumId w:val="10"/>
  </w:num>
  <w:num w:numId="39">
    <w:abstractNumId w:val="18"/>
  </w:num>
  <w:num w:numId="40">
    <w:abstractNumId w:val="31"/>
  </w:num>
  <w:num w:numId="41">
    <w:abstractNumId w:val="13"/>
  </w:num>
  <w:num w:numId="42">
    <w:abstractNumId w:val="54"/>
  </w:num>
  <w:num w:numId="43">
    <w:abstractNumId w:val="47"/>
  </w:num>
  <w:num w:numId="44">
    <w:abstractNumId w:val="33"/>
  </w:num>
  <w:num w:numId="45">
    <w:abstractNumId w:val="19"/>
  </w:num>
  <w:num w:numId="46">
    <w:abstractNumId w:val="14"/>
  </w:num>
  <w:num w:numId="47">
    <w:abstractNumId w:val="46"/>
  </w:num>
  <w:num w:numId="48">
    <w:abstractNumId w:val="26"/>
  </w:num>
  <w:num w:numId="49">
    <w:abstractNumId w:val="30"/>
  </w:num>
  <w:num w:numId="50">
    <w:abstractNumId w:val="39"/>
  </w:num>
  <w:num w:numId="51">
    <w:abstractNumId w:val="35"/>
  </w:num>
  <w:num w:numId="52">
    <w:abstractNumId w:val="29"/>
  </w:num>
  <w:num w:numId="53">
    <w:abstractNumId w:val="28"/>
  </w:num>
  <w:num w:numId="54">
    <w:abstractNumId w:val="41"/>
  </w:num>
  <w:num w:numId="55">
    <w:abstractNumId w:val="50"/>
  </w:num>
  <w:num w:numId="56">
    <w:abstractNumId w:val="49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257D"/>
    <w:rsid w:val="002D020F"/>
    <w:rsid w:val="0083257D"/>
    <w:rsid w:val="00BC13E0"/>
    <w:rsid w:val="00D1174D"/>
    <w:rsid w:val="00F06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pPr>
      <w:suppressAutoHyphens/>
      <w:spacing w:after="160" w:line="259" w:lineRule="auto"/>
    </w:pPr>
    <w:rPr>
      <w:lang w:eastAsia="en-US"/>
    </w:rPr>
  </w:style>
  <w:style w:type="paragraph" w:styleId="Heading1">
    <w:name w:val="heading 1"/>
    <w:basedOn w:val="ListParagraph"/>
    <w:next w:val="Normal"/>
    <w:link w:val="Heading1Char"/>
    <w:uiPriority w:val="99"/>
    <w:qFormat/>
    <w:pPr>
      <w:numPr>
        <w:numId w:val="1"/>
      </w:numPr>
      <w:tabs>
        <w:tab w:val="left" w:pos="0"/>
      </w:tabs>
      <w:spacing w:before="360" w:after="120"/>
      <w:ind w:left="4187"/>
      <w:contextualSpacing w:val="0"/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libri" w:hAnsi="Calibri" w:cs="Times New Roman"/>
      <w:sz w:val="22"/>
      <w:szCs w:val="22"/>
      <w:lang w:val="pl-PL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libri Light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libri Light" w:hAnsi="Calibri Light" w:cs="Times New Roman"/>
      <w:color w:val="1F3763"/>
      <w:sz w:val="24"/>
      <w:szCs w:val="24"/>
    </w:rPr>
  </w:style>
  <w:style w:type="character" w:styleId="Hyperlink">
    <w:name w:val="Hyperlink"/>
    <w:basedOn w:val="DefaultParagraphFont"/>
    <w:uiPriority w:val="99"/>
    <w:rPr>
      <w:rFonts w:cs="Times New Roman"/>
      <w:color w:val="0563C1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Times New Roman" w:hAnsi="Times New Roman" w:cs="Times New Roman"/>
      <w:sz w:val="24"/>
      <w:szCs w:val="24"/>
      <w:lang w:eastAsia="pl-PL"/>
    </w:rPr>
  </w:style>
  <w:style w:type="character" w:styleId="CommentReference">
    <w:name w:val="annotation reference"/>
    <w:basedOn w:val="DefaultParagraphFont"/>
    <w:uiPriority w:val="99"/>
    <w:semiHidden/>
    <w:rPr>
      <w:rFonts w:cs="Times New Roman"/>
      <w:sz w:val="16"/>
      <w:szCs w:val="16"/>
    </w:rPr>
  </w:style>
  <w:style w:type="character" w:customStyle="1" w:styleId="CommentTextChar">
    <w:name w:val="Comment Text Char"/>
    <w:uiPriority w:val="99"/>
    <w:locked/>
    <w:rPr>
      <w:sz w:val="20"/>
    </w:rPr>
  </w:style>
  <w:style w:type="character" w:customStyle="1" w:styleId="CommentSubjectChar">
    <w:name w:val="Comment Subject Char"/>
    <w:uiPriority w:val="99"/>
    <w:semiHidden/>
    <w:locked/>
    <w:rPr>
      <w:b/>
      <w:sz w:val="20"/>
    </w:rPr>
  </w:style>
  <w:style w:type="character" w:styleId="FollowedHyperlink">
    <w:name w:val="FollowedHyperlink"/>
    <w:basedOn w:val="DefaultParagraphFont"/>
    <w:uiPriority w:val="99"/>
    <w:semiHidden/>
    <w:rPr>
      <w:rFonts w:cs="Times New Roman"/>
      <w:color w:val="954F72"/>
      <w:u w:val="single"/>
    </w:rPr>
  </w:style>
  <w:style w:type="character" w:customStyle="1" w:styleId="BalloonTextChar">
    <w:name w:val="Balloon Text Char"/>
    <w:uiPriority w:val="99"/>
    <w:semiHidden/>
    <w:locked/>
    <w:rPr>
      <w:rFonts w:ascii="Segoe UI" w:hAnsi="Segoe UI"/>
      <w:sz w:val="18"/>
    </w:rPr>
  </w:style>
  <w:style w:type="character" w:customStyle="1" w:styleId="FooterChar">
    <w:name w:val="Footer Char"/>
    <w:uiPriority w:val="99"/>
    <w:locked/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customStyle="1" w:styleId="czeindeksu">
    <w:name w:val="Łącze indeksu"/>
    <w:uiPriority w:val="99"/>
  </w:style>
  <w:style w:type="character" w:customStyle="1" w:styleId="czeindeksuuser">
    <w:name w:val="Łącze indeksu (user)"/>
    <w:uiPriority w:val="99"/>
  </w:style>
  <w:style w:type="character" w:customStyle="1" w:styleId="HeaderChar1">
    <w:name w:val="Header Char1"/>
    <w:basedOn w:val="DefaultParagraphFont"/>
    <w:uiPriority w:val="99"/>
    <w:semiHidden/>
    <w:locked/>
    <w:rPr>
      <w:rFonts w:cs="Times New Roman"/>
      <w:lang w:eastAsia="en-US"/>
    </w:rPr>
  </w:style>
  <w:style w:type="character" w:customStyle="1" w:styleId="BodyTextChar">
    <w:name w:val="Body Text Char"/>
    <w:uiPriority w:val="99"/>
    <w:semiHidden/>
    <w:locked/>
    <w:rPr>
      <w:lang w:eastAsia="en-US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Pr>
      <w:rFonts w:cs="Times New Roman"/>
      <w:b/>
      <w:bCs/>
      <w:szCs w:val="20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FooterChar1">
    <w:name w:val="Footer Char1"/>
    <w:uiPriority w:val="99"/>
    <w:semiHidden/>
    <w:locked/>
    <w:rPr>
      <w:lang w:eastAsia="en-US"/>
    </w:rPr>
  </w:style>
  <w:style w:type="character" w:customStyle="1" w:styleId="HeaderChar2">
    <w:name w:val="Header Char2"/>
    <w:basedOn w:val="DefaultParagraphFont"/>
    <w:uiPriority w:val="99"/>
    <w:semiHidden/>
    <w:rPr>
      <w:rFonts w:cs="Times New Roman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Pr>
      <w:rFonts w:cs="Times New Roman"/>
      <w:lang w:eastAsia="en-US"/>
    </w:rPr>
  </w:style>
  <w:style w:type="character" w:customStyle="1" w:styleId="CommentTextChar2">
    <w:name w:val="Comment Text Char2"/>
    <w:uiPriority w:val="99"/>
    <w:semiHidden/>
    <w:locked/>
    <w:rPr>
      <w:sz w:val="20"/>
      <w:lang w:eastAsia="en-US"/>
    </w:rPr>
  </w:style>
  <w:style w:type="character" w:customStyle="1" w:styleId="CommentSubjectChar2">
    <w:name w:val="Comment Subject Char2"/>
    <w:uiPriority w:val="99"/>
    <w:semiHidden/>
    <w:locked/>
    <w:rPr>
      <w:b/>
      <w:sz w:val="20"/>
      <w:lang w:eastAsia="en-US"/>
    </w:rPr>
  </w:style>
  <w:style w:type="character" w:customStyle="1" w:styleId="BalloonTextChar2">
    <w:name w:val="Balloon Text Char2"/>
    <w:uiPriority w:val="99"/>
    <w:semiHidden/>
    <w:locked/>
    <w:rPr>
      <w:rFonts w:ascii="Times New Roman" w:hAnsi="Times New Roman"/>
      <w:sz w:val="2"/>
      <w:lang w:eastAsia="en-US"/>
    </w:rPr>
  </w:style>
  <w:style w:type="character" w:customStyle="1" w:styleId="FooterChar2">
    <w:name w:val="Footer Char2"/>
    <w:basedOn w:val="DefaultParagraphFont"/>
    <w:uiPriority w:val="99"/>
    <w:semiHidden/>
    <w:rPr>
      <w:rFonts w:cs="Times New Roman"/>
      <w:lang w:eastAsia="en-US"/>
    </w:rPr>
  </w:style>
  <w:style w:type="character" w:customStyle="1" w:styleId="HeaderChar3">
    <w:name w:val="Header Char3"/>
    <w:basedOn w:val="DefaultParagraphFont"/>
    <w:uiPriority w:val="99"/>
    <w:semiHidden/>
    <w:locked/>
    <w:rsid w:val="0083257D"/>
    <w:rPr>
      <w:rFonts w:cs="Times New Roman"/>
      <w:lang w:eastAsia="en-US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83257D"/>
    <w:rPr>
      <w:rFonts w:cs="Times New Roman"/>
      <w:lang w:eastAsia="en-US"/>
    </w:rPr>
  </w:style>
  <w:style w:type="character" w:customStyle="1" w:styleId="CommentTextChar3">
    <w:name w:val="Comment Text Char3"/>
    <w:basedOn w:val="DefaultParagraphFont"/>
    <w:link w:val="CommentText"/>
    <w:uiPriority w:val="99"/>
    <w:semiHidden/>
    <w:locked/>
    <w:rsid w:val="0083257D"/>
    <w:rPr>
      <w:rFonts w:cs="Times New Roman"/>
      <w:sz w:val="20"/>
      <w:szCs w:val="20"/>
      <w:lang w:eastAsia="en-US"/>
    </w:rPr>
  </w:style>
  <w:style w:type="character" w:customStyle="1" w:styleId="CommentSubjectChar3">
    <w:name w:val="Comment Subject Char3"/>
    <w:basedOn w:val="CommentTextChar2"/>
    <w:link w:val="CommentSubject"/>
    <w:uiPriority w:val="99"/>
    <w:semiHidden/>
    <w:locked/>
    <w:rsid w:val="0083257D"/>
    <w:rPr>
      <w:rFonts w:cs="Times New Roman"/>
      <w:b/>
      <w:bCs/>
      <w:szCs w:val="20"/>
    </w:rPr>
  </w:style>
  <w:style w:type="character" w:customStyle="1" w:styleId="BalloonTextChar3">
    <w:name w:val="Balloon Text Char3"/>
    <w:basedOn w:val="DefaultParagraphFont"/>
    <w:link w:val="BalloonText"/>
    <w:uiPriority w:val="99"/>
    <w:semiHidden/>
    <w:locked/>
    <w:rsid w:val="0083257D"/>
    <w:rPr>
      <w:rFonts w:ascii="Times New Roman" w:hAnsi="Times New Roman" w:cs="Times New Roman"/>
      <w:sz w:val="2"/>
      <w:lang w:eastAsia="en-US"/>
    </w:rPr>
  </w:style>
  <w:style w:type="character" w:customStyle="1" w:styleId="FooterChar3">
    <w:name w:val="Footer Char3"/>
    <w:basedOn w:val="DefaultParagraphFont"/>
    <w:link w:val="Footer"/>
    <w:uiPriority w:val="99"/>
    <w:semiHidden/>
    <w:locked/>
    <w:rsid w:val="0083257D"/>
    <w:rPr>
      <w:rFonts w:cs="Times New Roman"/>
      <w:lang w:eastAsia="en-US"/>
    </w:rPr>
  </w:style>
  <w:style w:type="paragraph" w:styleId="Header">
    <w:name w:val="header"/>
    <w:basedOn w:val="Normal"/>
    <w:next w:val="BodyText"/>
    <w:link w:val="HeaderCh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eaderChar4">
    <w:name w:val="Header Char4"/>
    <w:basedOn w:val="DefaultParagraphFont"/>
    <w:link w:val="Header"/>
    <w:uiPriority w:val="99"/>
    <w:semiHidden/>
    <w:rsid w:val="00542F9F"/>
    <w:rPr>
      <w:lang w:eastAsia="en-US"/>
    </w:rPr>
  </w:style>
  <w:style w:type="paragraph" w:styleId="BodyText">
    <w:name w:val="Body Text"/>
    <w:basedOn w:val="Normal"/>
    <w:link w:val="BodyTextChar2"/>
    <w:uiPriority w:val="99"/>
    <w:pPr>
      <w:spacing w:after="140" w:line="276" w:lineRule="auto"/>
    </w:pPr>
  </w:style>
  <w:style w:type="character" w:customStyle="1" w:styleId="BodyTextChar3">
    <w:name w:val="Body Text Char3"/>
    <w:basedOn w:val="DefaultParagraphFont"/>
    <w:link w:val="BodyText"/>
    <w:uiPriority w:val="99"/>
    <w:semiHidden/>
    <w:rsid w:val="00542F9F"/>
    <w:rPr>
      <w:lang w:eastAsia="en-US"/>
    </w:rPr>
  </w:style>
  <w:style w:type="paragraph" w:styleId="List">
    <w:name w:val="List"/>
    <w:basedOn w:val="BodyText"/>
    <w:uiPriority w:val="99"/>
    <w:rPr>
      <w:rFonts w:cs="Lucida Sans"/>
    </w:rPr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uiPriority w:val="99"/>
    <w:pPr>
      <w:suppressLineNumbers/>
    </w:pPr>
    <w:rPr>
      <w:rFonts w:cs="Lucida Sans"/>
    </w:rPr>
  </w:style>
  <w:style w:type="paragraph" w:customStyle="1" w:styleId="Gwkaistopka">
    <w:name w:val="Główka i stopka"/>
    <w:basedOn w:val="Normal"/>
    <w:uiPriority w:val="99"/>
  </w:style>
  <w:style w:type="paragraph" w:customStyle="1" w:styleId="Indeksuser">
    <w:name w:val="Indeks (user)"/>
    <w:basedOn w:val="Normal"/>
    <w:uiPriority w:val="99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"/>
    <w:uiPriority w:val="99"/>
  </w:style>
  <w:style w:type="paragraph" w:styleId="ListParagraph">
    <w:name w:val="List Paragraph"/>
    <w:basedOn w:val="Normal"/>
    <w:link w:val="ListParagraphChar"/>
    <w:uiPriority w:val="99"/>
    <w:qFormat/>
    <w:pPr>
      <w:ind w:left="720"/>
      <w:contextualSpacing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cs="Calibri"/>
      <w:lang w:eastAsia="pl-PL"/>
    </w:rPr>
  </w:style>
  <w:style w:type="paragraph" w:styleId="CommentText">
    <w:name w:val="annotation text"/>
    <w:basedOn w:val="Normal"/>
    <w:link w:val="CommentTextChar3"/>
    <w:uiPriority w:val="99"/>
    <w:pPr>
      <w:spacing w:line="240" w:lineRule="auto"/>
    </w:pPr>
    <w:rPr>
      <w:sz w:val="20"/>
      <w:szCs w:val="20"/>
    </w:rPr>
  </w:style>
  <w:style w:type="character" w:customStyle="1" w:styleId="CommentTextChar4">
    <w:name w:val="Comment Text Char4"/>
    <w:basedOn w:val="DefaultParagraphFont"/>
    <w:link w:val="CommentText"/>
    <w:uiPriority w:val="99"/>
    <w:semiHidden/>
    <w:rsid w:val="00542F9F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3"/>
    <w:uiPriority w:val="99"/>
    <w:semiHidden/>
    <w:rPr>
      <w:b/>
      <w:bCs/>
    </w:rPr>
  </w:style>
  <w:style w:type="character" w:customStyle="1" w:styleId="CommentSubjectChar4">
    <w:name w:val="Comment Subject Char4"/>
    <w:basedOn w:val="CommentTextChar3"/>
    <w:link w:val="CommentSubject"/>
    <w:uiPriority w:val="99"/>
    <w:semiHidden/>
    <w:rsid w:val="00542F9F"/>
    <w:rPr>
      <w:b/>
      <w:bCs/>
    </w:rPr>
  </w:style>
  <w:style w:type="paragraph" w:styleId="BalloonText">
    <w:name w:val="Balloon Text"/>
    <w:basedOn w:val="Normal"/>
    <w:link w:val="BalloonTextChar3"/>
    <w:uiPriority w:val="99"/>
    <w:semiHidden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BalloonTextChar4">
    <w:name w:val="Balloon Text Char4"/>
    <w:basedOn w:val="DefaultParagraphFont"/>
    <w:link w:val="BalloonText"/>
    <w:uiPriority w:val="99"/>
    <w:semiHidden/>
    <w:rsid w:val="00542F9F"/>
    <w:rPr>
      <w:rFonts w:ascii="Times New Roman" w:hAnsi="Times New Roman"/>
      <w:sz w:val="0"/>
      <w:szCs w:val="0"/>
      <w:lang w:eastAsia="en-US"/>
    </w:rPr>
  </w:style>
  <w:style w:type="paragraph" w:styleId="Footer">
    <w:name w:val="footer"/>
    <w:basedOn w:val="Normal"/>
    <w:link w:val="FooterChar3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4">
    <w:name w:val="Footer Char4"/>
    <w:basedOn w:val="DefaultParagraphFont"/>
    <w:link w:val="Footer"/>
    <w:uiPriority w:val="99"/>
    <w:semiHidden/>
    <w:rsid w:val="00542F9F"/>
    <w:rPr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Header"/>
    <w:uiPriority w:val="99"/>
    <w:pPr>
      <w:keepNext/>
      <w:tabs>
        <w:tab w:val="clear" w:pos="4536"/>
        <w:tab w:val="clear" w:pos="9072"/>
      </w:tabs>
      <w:spacing w:before="240" w:after="120" w:line="259" w:lineRule="auto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99"/>
    <w:qFormat/>
    <w:pPr>
      <w:keepNext/>
      <w:keepLines/>
      <w:numPr>
        <w:numId w:val="0"/>
      </w:numPr>
      <w:spacing w:before="240" w:after="0"/>
      <w:ind w:left="720"/>
      <w:outlineLvl w:val="9"/>
    </w:pPr>
    <w:rPr>
      <w:rFonts w:ascii="Calibri Light" w:eastAsia="Times New Roman" w:hAnsi="Calibri Light"/>
      <w:color w:val="2F5496"/>
      <w:sz w:val="32"/>
      <w:szCs w:val="32"/>
      <w:lang w:eastAsia="pl-PL"/>
    </w:rPr>
  </w:style>
  <w:style w:type="paragraph" w:styleId="TOC1">
    <w:name w:val="toc 1"/>
    <w:basedOn w:val="Normal"/>
    <w:next w:val="Normal"/>
    <w:autoRedefine/>
    <w:uiPriority w:val="99"/>
    <w:pPr>
      <w:spacing w:after="100"/>
    </w:pPr>
  </w:style>
  <w:style w:type="paragraph" w:styleId="Revision">
    <w:name w:val="Revision"/>
    <w:uiPriority w:val="99"/>
    <w:semiHidden/>
    <w:pPr>
      <w:suppressAutoHyphens/>
    </w:pPr>
    <w:rPr>
      <w:lang w:eastAsia="en-US"/>
    </w:rPr>
  </w:style>
  <w:style w:type="paragraph" w:styleId="NormalWeb">
    <w:name w:val="Normal (Web)"/>
    <w:basedOn w:val="Normal"/>
    <w:uiPriority w:val="99"/>
    <w:pPr>
      <w:spacing w:beforeAutospacing="1" w:after="142" w:line="276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Bullet">
    <w:name w:val="List Bullet"/>
    <w:basedOn w:val="Normal"/>
    <w:uiPriority w:val="99"/>
    <w:pPr>
      <w:numPr>
        <w:numId w:val="44"/>
      </w:numPr>
      <w:tabs>
        <w:tab w:val="left" w:pos="643"/>
      </w:tabs>
      <w:spacing w:after="200" w:line="276" w:lineRule="auto"/>
      <w:ind w:left="0" w:firstLine="0"/>
      <w:contextualSpacing/>
    </w:pPr>
    <w:rPr>
      <w:rFonts w:eastAsia="Times New Roman"/>
      <w:lang w:val="en-US"/>
    </w:rPr>
  </w:style>
  <w:style w:type="paragraph" w:styleId="TOC2">
    <w:name w:val="toc 2"/>
    <w:basedOn w:val="Normal"/>
    <w:next w:val="Normal"/>
    <w:autoRedefine/>
    <w:uiPriority w:val="99"/>
    <w:pPr>
      <w:spacing w:after="100"/>
      <w:ind w:left="220"/>
    </w:p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24</Pages>
  <Words>6808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treści</dc:title>
  <dc:subject/>
  <dc:creator>User Bartosz Dmochowski</dc:creator>
  <cp:keywords/>
  <dc:description/>
  <cp:lastModifiedBy>ksam</cp:lastModifiedBy>
  <cp:revision>8</cp:revision>
  <cp:lastPrinted>2025-10-28T06:54:00Z</cp:lastPrinted>
  <dcterms:created xsi:type="dcterms:W3CDTF">2026-02-11T10:39:00Z</dcterms:created>
  <dcterms:modified xsi:type="dcterms:W3CDTF">2026-03-18T08:23:00Z</dcterms:modified>
</cp:coreProperties>
</file>